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1F" w:rsidRPr="00247544" w:rsidRDefault="00376D1F" w:rsidP="00376D1F">
      <w:pPr>
        <w:spacing w:after="0"/>
        <w:rPr>
          <w:sz w:val="32"/>
        </w:rPr>
      </w:pPr>
      <w:bookmarkStart w:id="0" w:name="_GoBack"/>
      <w:bookmarkEnd w:id="0"/>
      <w:r w:rsidRPr="00247544">
        <w:rPr>
          <w:sz w:val="32"/>
        </w:rPr>
        <w:t>Rettevejledning til skriftlig revisoreksamen 2019</w:t>
      </w:r>
      <w:r>
        <w:rPr>
          <w:sz w:val="32"/>
        </w:rPr>
        <w:t xml:space="preserve"> for m</w:t>
      </w:r>
      <w:r w:rsidRPr="00247544">
        <w:rPr>
          <w:sz w:val="32"/>
        </w:rPr>
        <w:t>odul</w:t>
      </w:r>
      <w:r>
        <w:rPr>
          <w:sz w:val="32"/>
        </w:rPr>
        <w:t xml:space="preserve"> A</w:t>
      </w:r>
    </w:p>
    <w:p w:rsidR="00376D1F" w:rsidRPr="00C56F55" w:rsidRDefault="00376D1F" w:rsidP="00376D1F">
      <w:pPr>
        <w:spacing w:after="0"/>
        <w:jc w:val="center"/>
        <w:rPr>
          <w:b/>
          <w:sz w:val="20"/>
          <w:szCs w:val="28"/>
        </w:rPr>
      </w:pPr>
    </w:p>
    <w:p w:rsidR="00376D1F" w:rsidRPr="00C56F55" w:rsidRDefault="00376D1F" w:rsidP="00376D1F">
      <w:pPr>
        <w:spacing w:after="0"/>
        <w:rPr>
          <w:b/>
          <w:sz w:val="28"/>
          <w:szCs w:val="28"/>
        </w:rPr>
      </w:pPr>
      <w:r w:rsidRPr="00C56F55">
        <w:rPr>
          <w:b/>
          <w:sz w:val="28"/>
          <w:szCs w:val="28"/>
        </w:rPr>
        <w:t>Indledende bemærkninger</w:t>
      </w:r>
    </w:p>
    <w:p w:rsidR="00376D1F" w:rsidRPr="00C56F55" w:rsidRDefault="00376D1F" w:rsidP="00376D1F">
      <w:pPr>
        <w:spacing w:after="0"/>
        <w:rPr>
          <w:b/>
          <w:sz w:val="28"/>
          <w:szCs w:val="28"/>
        </w:rPr>
      </w:pPr>
    </w:p>
    <w:p w:rsidR="00376D1F" w:rsidRPr="00C56F55" w:rsidRDefault="00376D1F" w:rsidP="00376D1F">
      <w:pPr>
        <w:spacing w:after="0"/>
      </w:pPr>
      <w:r w:rsidRPr="00C56F55">
        <w:t xml:space="preserve">Denne rettevejledning er udarbejdet som hjælp </w:t>
      </w:r>
      <w:r>
        <w:t xml:space="preserve">ved bedømmelse af skriftlig </w:t>
      </w:r>
      <w:r w:rsidRPr="00C56F55">
        <w:t>revisoreksamen og</w:t>
      </w:r>
      <w:r>
        <w:t xml:space="preserve"> som</w:t>
      </w:r>
      <w:r w:rsidRPr="00C56F55">
        <w:t xml:space="preserve"> støtte for nuværende og kommende kandidater</w:t>
      </w:r>
      <w:r>
        <w:t>.</w:t>
      </w:r>
    </w:p>
    <w:p w:rsidR="00376D1F" w:rsidRPr="00C56F55" w:rsidRDefault="00376D1F" w:rsidP="00376D1F">
      <w:pPr>
        <w:spacing w:after="0"/>
      </w:pPr>
    </w:p>
    <w:p w:rsidR="00376D1F" w:rsidRDefault="00376D1F" w:rsidP="00376D1F">
      <w:pPr>
        <w:spacing w:after="0"/>
      </w:pPr>
      <w:r w:rsidRPr="00C56F55">
        <w:t>Rettevejledningen angiver i skemaform en række forhold, som besvarelsen bør/kan omfatte</w:t>
      </w:r>
      <w:r>
        <w:t>,</w:t>
      </w:r>
      <w:r w:rsidRPr="00C56F55">
        <w:t xml:space="preserve"> opdelt </w:t>
      </w:r>
      <w:r>
        <w:t>efter</w:t>
      </w:r>
      <w:r w:rsidRPr="00C56F55">
        <w:t xml:space="preserve"> </w:t>
      </w:r>
      <w:r>
        <w:t>7-trins-</w:t>
      </w:r>
      <w:r w:rsidRPr="00C56F55">
        <w:t>skalaen.</w:t>
      </w:r>
      <w:r>
        <w:t xml:space="preserve"> Det bemærkes dog, at kandidatens beskrevne forudsætninger og indledende konklusioner kan have stor på betydningen for indholdet og strukturen i besvarelsen, og derfor kan særlige forhold tale for at lægge vægt på andre forhold ved bedømmelsen. </w:t>
      </w:r>
    </w:p>
    <w:p w:rsidR="00376D1F" w:rsidRDefault="00376D1F" w:rsidP="00376D1F">
      <w:pPr>
        <w:spacing w:after="0"/>
      </w:pPr>
    </w:p>
    <w:p w:rsidR="00376D1F" w:rsidRDefault="00376D1F" w:rsidP="00376D1F">
      <w:pPr>
        <w:spacing w:after="0"/>
      </w:pPr>
      <w:r>
        <w:t xml:space="preserve">Strukturen i rettevejledningen er vejledende, og kandidaternes struktur i besvarelsen vil ofte være anderledes. </w:t>
      </w:r>
      <w:proofErr w:type="gramStart"/>
      <w:r w:rsidRPr="00C56F55">
        <w:t>Såfremt</w:t>
      </w:r>
      <w:proofErr w:type="gramEnd"/>
      <w:r w:rsidRPr="00C56F55">
        <w:t xml:space="preserve"> kandidatens </w:t>
      </w:r>
      <w:r>
        <w:t>struktur</w:t>
      </w:r>
      <w:r w:rsidRPr="00C56F55">
        <w:t xml:space="preserve"> i øvrigt virker naturlig, og besvarelsen har samme værdi for modtageren, skal dette ikke ændre den samlede vurdering af besvarelsen.</w:t>
      </w:r>
    </w:p>
    <w:p w:rsidR="00376D1F" w:rsidRDefault="00376D1F" w:rsidP="00376D1F">
      <w:pPr>
        <w:spacing w:after="0"/>
      </w:pPr>
    </w:p>
    <w:p w:rsidR="00376D1F" w:rsidRDefault="00376D1F" w:rsidP="00376D1F">
      <w:pPr>
        <w:spacing w:after="0"/>
      </w:pPr>
      <w:r w:rsidRPr="00AF117A">
        <w:t>Omtaler kandidaten et forhold angivet i rettevejledningen enten overfladisk eller direkte fejlbehæftet, vil det påvirke bedømmelsen. F.eks. er det som regel ikke tilstrækkeligt, at en kandidat i sin besvarelse anfører den konkrete henvisning til en</w:t>
      </w:r>
      <w:r w:rsidRPr="00C56F55">
        <w:t xml:space="preserve"> lovbestemmelse eller standard, hvis ikke kandidaten redegør for, hvorfor denne henvisning er relevant, og hvad bestemmelsen indeholder.</w:t>
      </w:r>
    </w:p>
    <w:p w:rsidR="00376D1F" w:rsidRPr="00C56F55" w:rsidRDefault="00376D1F" w:rsidP="00376D1F">
      <w:pPr>
        <w:spacing w:after="0"/>
      </w:pPr>
    </w:p>
    <w:p w:rsidR="00376D1F" w:rsidRDefault="00376D1F" w:rsidP="00376D1F">
      <w:pPr>
        <w:spacing w:after="0"/>
      </w:pPr>
      <w:r w:rsidRPr="00C56F55">
        <w:t xml:space="preserve">De enkelte </w:t>
      </w:r>
      <w:r>
        <w:t>forhold i</w:t>
      </w:r>
      <w:r w:rsidRPr="00C56F55">
        <w:t xml:space="preserve"> rettevejledning</w:t>
      </w:r>
      <w:r>
        <w:t>en</w:t>
      </w:r>
      <w:r w:rsidRPr="00C56F55">
        <w:t xml:space="preserve"> </w:t>
      </w:r>
      <w:r>
        <w:t>og besvarelsen kan ikke nødvendigvis tillægges samme vægt,</w:t>
      </w:r>
      <w:r w:rsidRPr="00C56F55">
        <w:t xml:space="preserve"> og</w:t>
      </w:r>
      <w:r>
        <w:t xml:space="preserve"> det er bedømmerteamets faglige vurdering, med hvilken vægt de enkelte forhold skal indgå i bedømmelsen. Bedømmelsen vil altid være en helhedsvurdering. </w:t>
      </w:r>
    </w:p>
    <w:p w:rsidR="00376D1F" w:rsidRDefault="00376D1F" w:rsidP="00376D1F">
      <w:pPr>
        <w:spacing w:after="0"/>
      </w:pPr>
    </w:p>
    <w:p w:rsidR="00376D1F" w:rsidRDefault="00376D1F" w:rsidP="00376D1F">
      <w:pPr>
        <w:spacing w:after="0"/>
      </w:pPr>
      <w:r w:rsidRPr="00C56F55">
        <w:t xml:space="preserve">Den samlede vurdering af, om en kandidat er bestået, vil ikke kun være et spørgsmål om, hvorvidt kandidaten korrekt redegør for de </w:t>
      </w:r>
      <w:r>
        <w:t>forhold</w:t>
      </w:r>
      <w:r w:rsidRPr="00C56F55">
        <w:t>, som er anført i denne rettevejledning, men også i hvilket omfang kandidaten begrunder sin besvarelse</w:t>
      </w:r>
      <w:r>
        <w:t>, og om besvarelsen er forståelig og har værdi for modtageren.</w:t>
      </w:r>
    </w:p>
    <w:p w:rsidR="00376D1F" w:rsidRDefault="00376D1F" w:rsidP="00376D1F">
      <w:pPr>
        <w:spacing w:after="0"/>
      </w:pPr>
    </w:p>
    <w:p w:rsidR="00376D1F" w:rsidRPr="00C56F55" w:rsidRDefault="00376D1F" w:rsidP="00376D1F">
      <w:pPr>
        <w:spacing w:after="0"/>
      </w:pPr>
      <w:r>
        <w:t>Som følge af ovenstående er det</w:t>
      </w:r>
      <w:r w:rsidRPr="00C56F55">
        <w:t xml:space="preserve"> ikke muligt eller hensigtsmæssigt at anvende denne rettevejledning som et rent matematisk hjælpemiddel til at afgøre, om en kandidat er bestået eller ej. </w:t>
      </w:r>
    </w:p>
    <w:p w:rsidR="00376D1F" w:rsidRPr="00C56F55" w:rsidRDefault="00376D1F" w:rsidP="00376D1F">
      <w:pPr>
        <w:spacing w:after="0"/>
      </w:pPr>
    </w:p>
    <w:p w:rsidR="00376D1F" w:rsidRPr="00C56F55" w:rsidRDefault="00376D1F" w:rsidP="00376D1F">
      <w:pPr>
        <w:spacing w:after="0"/>
      </w:pPr>
      <w:r w:rsidRPr="00C56F55">
        <w:t xml:space="preserve">Karakter gives efter </w:t>
      </w:r>
      <w:r>
        <w:t>7-trins</w:t>
      </w:r>
      <w:r w:rsidRPr="00C56F55">
        <w:t xml:space="preserve">-skalaen på de enkelte spørgsmål og sammenfattes til en samlet karakter for opgaven som helhed og til ”bestået” eller ”ikke-bestået”. </w:t>
      </w:r>
      <w:r>
        <w:t xml:space="preserve">Uanset at den endelige bedømmelse kun har to udfaldsrum (bestået / ikke bestået), skal de individuelle besvarelser og den samlede besvarelse vurderes på 7-trins-skalaen.  </w:t>
      </w:r>
      <w:r w:rsidRPr="00C56F55">
        <w:br w:type="page"/>
      </w:r>
    </w:p>
    <w:p w:rsidR="00376D1F" w:rsidRPr="00C56F55" w:rsidRDefault="00376D1F" w:rsidP="00376D1F">
      <w:pPr>
        <w:rPr>
          <w:b/>
        </w:rPr>
      </w:pPr>
      <w:r w:rsidRPr="00C56F55">
        <w:rPr>
          <w:b/>
        </w:rPr>
        <w:lastRenderedPageBreak/>
        <w:t xml:space="preserve">RETTEVEJLEDNING - MODUL </w:t>
      </w:r>
      <w:r>
        <w:rPr>
          <w:b/>
        </w:rPr>
        <w:t>A 2019</w:t>
      </w:r>
    </w:p>
    <w:p w:rsidR="00376D1F" w:rsidRPr="00C56F55" w:rsidRDefault="00376D1F" w:rsidP="00376D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"/>
        <w:gridCol w:w="4379"/>
        <w:gridCol w:w="4246"/>
      </w:tblGrid>
      <w:tr w:rsidR="00376D1F" w:rsidRPr="00487CA0" w:rsidTr="00B132CE">
        <w:tc>
          <w:tcPr>
            <w:tcW w:w="9628" w:type="dxa"/>
            <w:gridSpan w:val="3"/>
          </w:tcPr>
          <w:p w:rsidR="00376D1F" w:rsidRPr="009103B8" w:rsidRDefault="00376D1F" w:rsidP="00B132CE">
            <w:pPr>
              <w:rPr>
                <w:b/>
              </w:rPr>
            </w:pPr>
            <w:r w:rsidRPr="00642410">
              <w:rPr>
                <w:b/>
              </w:rPr>
              <w:t xml:space="preserve">Spørgsmål </w:t>
            </w:r>
            <w:r w:rsidRPr="007F48D5">
              <w:rPr>
                <w:b/>
              </w:rPr>
              <w:t>1.</w:t>
            </w:r>
            <w:r w:rsidRPr="009103B8">
              <w:rPr>
                <w:b/>
              </w:rPr>
              <w:t>1 (30 %)</w:t>
            </w:r>
          </w:p>
          <w:p w:rsidR="00376D1F" w:rsidRPr="00EA7304" w:rsidRDefault="00376D1F" w:rsidP="00B132CE">
            <w:pPr>
              <w:spacing w:after="0" w:line="240" w:lineRule="auto"/>
              <w:rPr>
                <w:b/>
                <w:sz w:val="18"/>
              </w:rPr>
            </w:pPr>
            <w:r w:rsidRPr="00EA7304">
              <w:rPr>
                <w:b/>
                <w:sz w:val="18"/>
                <w:szCs w:val="18"/>
              </w:rPr>
              <w:t>I en mail til din chef bedes du redegøre for dine overvejelser vedrørende tavshedspligt i forbindelse med henvendelse til den tyske revisor i Tyskland. Mailen skal indeholde dit forslag til håndtering af sagen.</w:t>
            </w:r>
          </w:p>
        </w:tc>
      </w:tr>
      <w:tr w:rsidR="00376D1F" w:rsidRPr="007F48D5" w:rsidTr="00B132CE">
        <w:tc>
          <w:tcPr>
            <w:tcW w:w="9628" w:type="dxa"/>
            <w:gridSpan w:val="3"/>
          </w:tcPr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b/>
                <w:sz w:val="18"/>
              </w:rPr>
              <w:t>Centrale regler og fortolkninger</w:t>
            </w:r>
          </w:p>
          <w:p w:rsidR="00376D1F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De</w:t>
            </w:r>
            <w:r>
              <w:rPr>
                <w:sz w:val="18"/>
              </w:rPr>
              <w:t>n</w:t>
            </w:r>
            <w:r w:rsidRPr="003729FB">
              <w:rPr>
                <w:sz w:val="18"/>
              </w:rPr>
              <w:t xml:space="preserve"> centrale </w:t>
            </w:r>
            <w:r>
              <w:rPr>
                <w:sz w:val="18"/>
              </w:rPr>
              <w:t>problemstilling er</w:t>
            </w:r>
            <w:r w:rsidRPr="003729FB">
              <w:rPr>
                <w:sz w:val="18"/>
              </w:rPr>
              <w:t xml:space="preserve"> tavshedspligt</w:t>
            </w:r>
            <w:r>
              <w:rPr>
                <w:sz w:val="18"/>
              </w:rPr>
              <w:t xml:space="preserve">. </w:t>
            </w:r>
            <w:r w:rsidRPr="00B52AD3">
              <w:rPr>
                <w:sz w:val="18"/>
              </w:rPr>
              <w:t>Revisorlovens § 30, stk. 2</w:t>
            </w:r>
            <w:r>
              <w:rPr>
                <w:sz w:val="18"/>
              </w:rPr>
              <w:t xml:space="preserve"> fritager datterselskabsrevisor for tavshedspligt i forhold til </w:t>
            </w:r>
            <w:r w:rsidRPr="00B52AD3">
              <w:rPr>
                <w:sz w:val="18"/>
              </w:rPr>
              <w:t>koncernrevisor, men ikke omvendt</w:t>
            </w:r>
            <w:r>
              <w:rPr>
                <w:sz w:val="18"/>
              </w:rPr>
              <w:t>.</w:t>
            </w:r>
          </w:p>
          <w:p w:rsidR="00376D1F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Derfor skal revisor frigøres fra sin tavshedspligt, hvilket oftest sker i revisionsaftalen/aftalebrev.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ISA 600</w:t>
            </w:r>
            <w:r>
              <w:rPr>
                <w:sz w:val="18"/>
              </w:rPr>
              <w:t>,</w:t>
            </w:r>
            <w:r w:rsidRPr="003729FB">
              <w:rPr>
                <w:sz w:val="18"/>
              </w:rPr>
              <w:t xml:space="preserve"> afsnit 14 jf. A20</w:t>
            </w:r>
          </w:p>
          <w:p w:rsidR="00376D1F" w:rsidRPr="007F48D5" w:rsidRDefault="00376D1F" w:rsidP="00B132CE">
            <w:pPr>
              <w:rPr>
                <w:i/>
                <w:sz w:val="18"/>
              </w:rPr>
            </w:pPr>
            <w:proofErr w:type="spellStart"/>
            <w:r w:rsidRPr="003729FB">
              <w:rPr>
                <w:sz w:val="18"/>
              </w:rPr>
              <w:t>FSR’s</w:t>
            </w:r>
            <w:proofErr w:type="spellEnd"/>
            <w:r w:rsidRPr="003729FB">
              <w:rPr>
                <w:sz w:val="18"/>
              </w:rPr>
              <w:t xml:space="preserve"> pjece ”Når tale er guld og tavshed bliver sølv” fra april/maj 2019 afsnit 6.2</w:t>
            </w: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Pr="007F48D5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Karakteren 02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De fleste af følgende </w:t>
            </w:r>
            <w:r>
              <w:rPr>
                <w:b/>
                <w:sz w:val="18"/>
              </w:rPr>
              <w:t>forhold</w:t>
            </w:r>
            <w:r w:rsidRPr="00C2291B">
              <w:rPr>
                <w:b/>
                <w:sz w:val="18"/>
              </w:rPr>
              <w:t xml:space="preserve"> bør sædvanligvis være </w:t>
            </w:r>
            <w:r>
              <w:rPr>
                <w:b/>
                <w:sz w:val="18"/>
              </w:rPr>
              <w:t>indarbejdet i besvarelsen</w:t>
            </w:r>
            <w:r w:rsidRPr="00C2291B">
              <w:rPr>
                <w:b/>
                <w:sz w:val="18"/>
              </w:rPr>
              <w:t xml:space="preserve"> for at opnå karakteren 02.</w:t>
            </w:r>
            <w:r>
              <w:rPr>
                <w:b/>
                <w:sz w:val="18"/>
              </w:rPr>
              <w:t xml:space="preserve"> Den detaljeringsgrad/omfanget, som er minimalt acceptabelt, kan variere fra forhold til forhold.  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Særlige forhold kan tale for en anden vurdering. Herunder </w:t>
            </w:r>
            <w:r>
              <w:rPr>
                <w:b/>
                <w:sz w:val="18"/>
              </w:rPr>
              <w:t xml:space="preserve">kan </w:t>
            </w:r>
            <w:r w:rsidRPr="00C2291B">
              <w:rPr>
                <w:b/>
                <w:sz w:val="18"/>
              </w:rPr>
              <w:t>behandlingen af problemstillinger</w:t>
            </w:r>
            <w:r>
              <w:rPr>
                <w:b/>
                <w:sz w:val="18"/>
              </w:rPr>
              <w:t>,</w:t>
            </w:r>
            <w:r w:rsidRPr="00C2291B">
              <w:rPr>
                <w:b/>
                <w:sz w:val="18"/>
              </w:rPr>
              <w:t xml:space="preserve"> omtalt under karaktererne 4-12</w:t>
            </w:r>
            <w:r>
              <w:rPr>
                <w:b/>
                <w:sz w:val="18"/>
              </w:rPr>
              <w:t xml:space="preserve">, påvirke bedømmelsen positivt, jf. indledningen. </w:t>
            </w:r>
          </w:p>
        </w:tc>
        <w:tc>
          <w:tcPr>
            <w:tcW w:w="4246" w:type="dxa"/>
          </w:tcPr>
          <w:p w:rsidR="00376D1F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Bemærkninger</w:t>
            </w:r>
            <w:r w:rsidRPr="00C2291B">
              <w:rPr>
                <w:b/>
                <w:sz w:val="18"/>
              </w:rPr>
              <w:br/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t>Den tilstrækkelige præstation</w:t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0"/>
                <w:shd w:val="clear" w:color="auto" w:fill="FFFFFF"/>
              </w:rPr>
              <w:t xml:space="preserve">Karakteren 02 gives for den tilstrækkelige præstation, der demonstrerer den 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0"/>
                <w:u w:val="single"/>
                <w:shd w:val="clear" w:color="auto" w:fill="FFFFFF"/>
              </w:rPr>
              <w:t>minimalt acceptable grad af opfyldelse af fagets mål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0"/>
                <w:shd w:val="clear" w:color="auto" w:fill="FFFFFF"/>
              </w:rPr>
              <w:t>.</w:t>
            </w:r>
          </w:p>
        </w:tc>
      </w:tr>
      <w:tr w:rsidR="00376D1F" w:rsidRPr="00487CA0" w:rsidTr="00B132CE">
        <w:tc>
          <w:tcPr>
            <w:tcW w:w="1003" w:type="dxa"/>
          </w:tcPr>
          <w:p w:rsidR="00376D1F" w:rsidRPr="009103B8" w:rsidRDefault="00376D1F" w:rsidP="00B132CE">
            <w:pPr>
              <w:rPr>
                <w:sz w:val="18"/>
              </w:rPr>
            </w:pPr>
            <w:r w:rsidRPr="009103B8">
              <w:rPr>
                <w:sz w:val="18"/>
              </w:rPr>
              <w:t>1.1-02-1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Notatet er f</w:t>
            </w:r>
            <w:r w:rsidRPr="003729FB">
              <w:rPr>
                <w:sz w:val="18"/>
              </w:rPr>
              <w:t>ormuleret kortfattet og begrundet i et passende sprog til en chef.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9103B8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1.1-02-2</w:t>
            </w:r>
          </w:p>
        </w:tc>
        <w:tc>
          <w:tcPr>
            <w:tcW w:w="4379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 xml:space="preserve">Mailen </w:t>
            </w:r>
            <w:r w:rsidR="00025DD9">
              <w:rPr>
                <w:sz w:val="18"/>
              </w:rPr>
              <w:t xml:space="preserve">bør </w:t>
            </w:r>
            <w:r>
              <w:rPr>
                <w:sz w:val="18"/>
              </w:rPr>
              <w:t>være fornuftigt disponeret</w:t>
            </w:r>
            <w:r w:rsidR="00025DD9">
              <w:rPr>
                <w:sz w:val="18"/>
              </w:rPr>
              <w:t>, men skal</w:t>
            </w:r>
            <w:r>
              <w:rPr>
                <w:sz w:val="18"/>
              </w:rPr>
              <w:t xml:space="preserve"> indeholde følgende: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 w:rsidRPr="00DE5C74">
              <w:rPr>
                <w:sz w:val="18"/>
              </w:rPr>
              <w:t xml:space="preserve">Beskrivelse af problemstillingen 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Omtale af reglerne 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 w:rsidRPr="00DE5C74">
              <w:rPr>
                <w:sz w:val="18"/>
              </w:rPr>
              <w:t xml:space="preserve">Løsningsmodeller 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 w:rsidRPr="00DE5C74">
              <w:rPr>
                <w:sz w:val="18"/>
              </w:rPr>
              <w:t>Håndtering af næstformand</w:t>
            </w:r>
          </w:p>
          <w:p w:rsidR="00376D1F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 w:rsidRPr="00DE5C74">
              <w:rPr>
                <w:sz w:val="18"/>
              </w:rPr>
              <w:t xml:space="preserve">Forslag til håndtering </w:t>
            </w:r>
          </w:p>
          <w:p w:rsidR="006A7D14" w:rsidRPr="00DE5C74" w:rsidRDefault="006A7D14" w:rsidP="00025DD9">
            <w:pPr>
              <w:pStyle w:val="Listeafsnit"/>
              <w:rPr>
                <w:sz w:val="18"/>
              </w:rPr>
            </w:pP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9103B8" w:rsidRDefault="00376D1F" w:rsidP="00B132CE">
            <w:pPr>
              <w:rPr>
                <w:sz w:val="18"/>
              </w:rPr>
            </w:pPr>
            <w:r w:rsidRPr="009103B8">
              <w:rPr>
                <w:sz w:val="18"/>
              </w:rPr>
              <w:t>1.1-02-</w:t>
            </w:r>
            <w:r>
              <w:rPr>
                <w:sz w:val="18"/>
              </w:rPr>
              <w:t>3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Kandidaten f</w:t>
            </w:r>
            <w:r w:rsidRPr="003729FB">
              <w:rPr>
                <w:sz w:val="18"/>
              </w:rPr>
              <w:t>okuser</w:t>
            </w:r>
            <w:r>
              <w:rPr>
                <w:sz w:val="18"/>
              </w:rPr>
              <w:t>er</w:t>
            </w:r>
            <w:r w:rsidRPr="003729FB">
              <w:rPr>
                <w:sz w:val="18"/>
              </w:rPr>
              <w:t xml:space="preserve"> på problemstillingen</w:t>
            </w:r>
            <w:r>
              <w:rPr>
                <w:sz w:val="18"/>
              </w:rPr>
              <w:t>:</w:t>
            </w:r>
            <w:r w:rsidRPr="003729FB">
              <w:rPr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 w:rsidRPr="003729FB">
              <w:rPr>
                <w:sz w:val="18"/>
              </w:rPr>
              <w:t>avshedspligt.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Det er helt centralt, at kommunikation fra moderselskabsrevisor/koncernrevisor og til datterselskabsrevisor/komponentrevisor ikke er undtaget fra tavshedspligten ved lov eller anden regulering.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9103B8" w:rsidRDefault="00376D1F" w:rsidP="00B132CE">
            <w:pPr>
              <w:rPr>
                <w:sz w:val="18"/>
              </w:rPr>
            </w:pPr>
            <w:r w:rsidRPr="009103B8">
              <w:rPr>
                <w:sz w:val="18"/>
              </w:rPr>
              <w:lastRenderedPageBreak/>
              <w:t>1.1-02-</w:t>
            </w:r>
            <w:r>
              <w:rPr>
                <w:sz w:val="18"/>
              </w:rPr>
              <w:t>4</w:t>
            </w:r>
          </w:p>
        </w:tc>
        <w:tc>
          <w:tcPr>
            <w:tcW w:w="4379" w:type="dxa"/>
          </w:tcPr>
          <w:p w:rsidR="006A7D14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 xml:space="preserve">Kandidaten </w:t>
            </w:r>
            <w:r w:rsidR="006A141B">
              <w:rPr>
                <w:sz w:val="18"/>
              </w:rPr>
              <w:t xml:space="preserve">skal </w:t>
            </w:r>
            <w:r>
              <w:rPr>
                <w:sz w:val="18"/>
              </w:rPr>
              <w:t>være opmærksom på at f</w:t>
            </w:r>
            <w:r w:rsidRPr="003729FB">
              <w:rPr>
                <w:sz w:val="18"/>
              </w:rPr>
              <w:t>or at blive frigjort fra tavshedspligten</w:t>
            </w:r>
            <w:r>
              <w:rPr>
                <w:sz w:val="18"/>
              </w:rPr>
              <w:t>,</w:t>
            </w:r>
            <w:r w:rsidRPr="003729FB">
              <w:rPr>
                <w:sz w:val="18"/>
              </w:rPr>
              <w:t xml:space="preserve"> skal der </w:t>
            </w:r>
            <w:r>
              <w:rPr>
                <w:sz w:val="18"/>
              </w:rPr>
              <w:t xml:space="preserve">foreligge aftale herom. </w:t>
            </w:r>
          </w:p>
          <w:p w:rsidR="00376D1F" w:rsidRDefault="006A7D14" w:rsidP="00B132CE">
            <w:pPr>
              <w:rPr>
                <w:sz w:val="18"/>
              </w:rPr>
            </w:pPr>
            <w:r>
              <w:rPr>
                <w:sz w:val="18"/>
              </w:rPr>
              <w:t>K</w:t>
            </w:r>
            <w:r w:rsidR="00376D1F">
              <w:rPr>
                <w:sz w:val="18"/>
              </w:rPr>
              <w:t xml:space="preserve">andidaten </w:t>
            </w:r>
            <w:r>
              <w:rPr>
                <w:sz w:val="18"/>
              </w:rPr>
              <w:t xml:space="preserve">kan </w:t>
            </w:r>
            <w:r w:rsidR="00376D1F">
              <w:rPr>
                <w:sz w:val="18"/>
              </w:rPr>
              <w:t xml:space="preserve">foreslå at udarbejde en særskilt skriftlig aftale eller opdatere </w:t>
            </w:r>
            <w:r w:rsidR="00376D1F" w:rsidRPr="003729FB">
              <w:rPr>
                <w:sz w:val="18"/>
              </w:rPr>
              <w:t>aftalebrev</w:t>
            </w:r>
            <w:r w:rsidR="00376D1F">
              <w:rPr>
                <w:sz w:val="18"/>
              </w:rPr>
              <w:t>et</w:t>
            </w:r>
            <w:r w:rsidR="00376D1F" w:rsidRPr="003729FB">
              <w:rPr>
                <w:sz w:val="18"/>
              </w:rPr>
              <w:t xml:space="preserve"> (revisionsaftale</w:t>
            </w:r>
            <w:r w:rsidR="00376D1F">
              <w:rPr>
                <w:sz w:val="18"/>
              </w:rPr>
              <w:t>n</w:t>
            </w:r>
            <w:r w:rsidR="00376D1F" w:rsidRPr="003729FB">
              <w:rPr>
                <w:sz w:val="18"/>
              </w:rPr>
              <w:t xml:space="preserve">) vedrørende revisionen/koncernrevisionen.  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Hvis kandidaten foreslår at udarbejde en</w:t>
            </w:r>
            <w:r w:rsidRPr="00B52AD3">
              <w:rPr>
                <w:sz w:val="18"/>
              </w:rPr>
              <w:t xml:space="preserve"> anden skriftlig aftale</w:t>
            </w:r>
            <w:r>
              <w:rPr>
                <w:sz w:val="18"/>
              </w:rPr>
              <w:t>,</w:t>
            </w:r>
            <w:r w:rsidR="006A7D14">
              <w:rPr>
                <w:sz w:val="18"/>
              </w:rPr>
              <w:t xml:space="preserve"> skal kandidaten komme frem til, at det ikke kan ske med næstformanden alene. </w:t>
            </w:r>
            <w:r w:rsidRPr="003729FB">
              <w:rPr>
                <w:sz w:val="18"/>
              </w:rPr>
              <w:t xml:space="preserve">Det er ikke afgørende, om kandidaten kommer ind </w:t>
            </w:r>
            <w:r>
              <w:rPr>
                <w:sz w:val="18"/>
              </w:rPr>
              <w:t>på</w:t>
            </w:r>
            <w:r w:rsidRPr="003729FB">
              <w:rPr>
                <w:sz w:val="18"/>
              </w:rPr>
              <w:t xml:space="preserve"> koncernrevision</w:t>
            </w:r>
            <w:r>
              <w:rPr>
                <w:sz w:val="18"/>
              </w:rPr>
              <w:t xml:space="preserve"> i øvrigt.</w:t>
            </w:r>
            <w:r w:rsidRPr="003729FB">
              <w:rPr>
                <w:sz w:val="18"/>
              </w:rPr>
              <w:t xml:space="preserve"> 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</w:p>
        </w:tc>
        <w:tc>
          <w:tcPr>
            <w:tcW w:w="4379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Samlet vurdering af, om kandidatens præstation på baggrund af ovenstående er bestået eller ikke-bestået (karakteren 02)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Karaktererne 4-7 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En del af følgende punkter bør være behandlet tilfredsstillende, for at kandidaten kan opnå karakter</w:t>
            </w:r>
            <w:r>
              <w:rPr>
                <w:b/>
                <w:sz w:val="18"/>
              </w:rPr>
              <w:t>erne</w:t>
            </w:r>
            <w:r w:rsidRPr="00C2291B">
              <w:rPr>
                <w:b/>
                <w:sz w:val="18"/>
              </w:rPr>
              <w:t xml:space="preserve"> 4-7.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</w:p>
        </w:tc>
        <w:tc>
          <w:tcPr>
            <w:tcW w:w="4246" w:type="dxa"/>
          </w:tcPr>
          <w:p w:rsidR="00376D1F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</w:pPr>
            <w:r w:rsidRPr="00C2291B">
              <w:rPr>
                <w:b/>
                <w:sz w:val="18"/>
              </w:rPr>
              <w:t>Bemærkninger</w:t>
            </w:r>
            <w:r w:rsidRPr="00C2291B">
              <w:rPr>
                <w:b/>
                <w:sz w:val="18"/>
              </w:rPr>
              <w:br/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t xml:space="preserve">Den jævne præstation </w:t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 xml:space="preserve">Karakteren 4 gives for den jævne præstation, der demonstrerer en mindre grad af 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u w:val="single"/>
                <w:shd w:val="clear" w:color="auto" w:fill="FFFFFF"/>
              </w:rPr>
              <w:t>opfyldelse af fagets mål, med adskillige væsentlige mangler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>.</w:t>
            </w:r>
          </w:p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t>Den gode præstation</w:t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 xml:space="preserve">Karakteren 7 gives for den gode præstation, der demonstrerer 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u w:val="single"/>
                <w:shd w:val="clear" w:color="auto" w:fill="FFFFFF"/>
              </w:rPr>
              <w:t>opfyldelse af fagets mål, med en del mangler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>.</w:t>
            </w:r>
          </w:p>
        </w:tc>
      </w:tr>
      <w:tr w:rsidR="00376D1F" w:rsidRPr="00C2291B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sz w:val="18"/>
              </w:rPr>
              <w:t>1.1-47-</w:t>
            </w:r>
            <w:r>
              <w:rPr>
                <w:sz w:val="18"/>
              </w:rPr>
              <w:t>1</w:t>
            </w:r>
          </w:p>
        </w:tc>
        <w:tc>
          <w:tcPr>
            <w:tcW w:w="4379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>
              <w:rPr>
                <w:sz w:val="18"/>
              </w:rPr>
              <w:t>Mailen</w:t>
            </w:r>
            <w:r w:rsidRPr="00E426F9">
              <w:rPr>
                <w:sz w:val="18"/>
              </w:rPr>
              <w:t xml:space="preserve"> </w:t>
            </w:r>
            <w:r>
              <w:rPr>
                <w:sz w:val="18"/>
              </w:rPr>
              <w:t>er målrettet</w:t>
            </w:r>
            <w:r w:rsidRPr="00E426F9">
              <w:rPr>
                <w:sz w:val="18"/>
              </w:rPr>
              <w:t xml:space="preserve"> og indeholder ikke overflødige oplysninger</w:t>
            </w:r>
            <w:r>
              <w:rPr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sz w:val="18"/>
              </w:rPr>
              <w:t>1.1-47-</w:t>
            </w:r>
            <w:r>
              <w:rPr>
                <w:sz w:val="18"/>
              </w:rPr>
              <w:t>2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Kandidaten v</w:t>
            </w:r>
            <w:r w:rsidRPr="003729FB">
              <w:rPr>
                <w:sz w:val="18"/>
              </w:rPr>
              <w:t xml:space="preserve">iser kendskab til og omtaler ISA 600 </w:t>
            </w:r>
            <w:r>
              <w:rPr>
                <w:sz w:val="18"/>
              </w:rPr>
              <w:t>(</w:t>
            </w:r>
            <w:r w:rsidRPr="003729FB">
              <w:rPr>
                <w:sz w:val="18"/>
              </w:rPr>
              <w:t>især afsnit 14</w:t>
            </w:r>
            <w:r>
              <w:rPr>
                <w:sz w:val="18"/>
              </w:rPr>
              <w:t>)</w:t>
            </w:r>
            <w:r w:rsidRPr="003729FB">
              <w:rPr>
                <w:sz w:val="18"/>
              </w:rPr>
              <w:t xml:space="preserve"> – som er central </w:t>
            </w:r>
            <w:r>
              <w:rPr>
                <w:sz w:val="18"/>
              </w:rPr>
              <w:t>i forhold til</w:t>
            </w:r>
            <w:r w:rsidRPr="003729FB">
              <w:rPr>
                <w:sz w:val="18"/>
              </w:rPr>
              <w:t xml:space="preserve"> opgaven:</w:t>
            </w:r>
          </w:p>
          <w:p w:rsidR="00376D1F" w:rsidRPr="00D416A9" w:rsidRDefault="00376D1F" w:rsidP="00B132CE">
            <w:pPr>
              <w:rPr>
                <w:i/>
                <w:sz w:val="18"/>
              </w:rPr>
            </w:pPr>
            <w:r w:rsidRPr="00FC6F4E">
              <w:rPr>
                <w:i/>
                <w:sz w:val="18"/>
              </w:rPr>
              <w:t>”Koncernrevisor skal aftale vilkårene for koncernrevisionsopgaven i overensstemmelse med ISA 210 (jf. afsnit A20).”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og ISA 600 afsnit A20:</w:t>
            </w:r>
          </w:p>
          <w:p w:rsidR="00376D1F" w:rsidRPr="00D416A9" w:rsidRDefault="00376D1F" w:rsidP="00B132CE">
            <w:pPr>
              <w:rPr>
                <w:i/>
                <w:sz w:val="18"/>
              </w:rPr>
            </w:pPr>
            <w:r w:rsidRPr="00FC6F4E">
              <w:rPr>
                <w:i/>
                <w:sz w:val="18"/>
              </w:rPr>
              <w:t>”A20. Aftalen om opgavens vilkår identificerer den relevante regnskabsmæssige begrebsramme. Yderligere forhold kan medtages i aftalen om en koncernrevisionsopgave, såsom det forhold, at:</w:t>
            </w:r>
          </w:p>
          <w:p w:rsidR="00376D1F" w:rsidRPr="00D416A9" w:rsidRDefault="00376D1F" w:rsidP="00B132CE">
            <w:pPr>
              <w:rPr>
                <w:i/>
                <w:sz w:val="18"/>
              </w:rPr>
            </w:pPr>
            <w:r w:rsidRPr="00D416A9">
              <w:rPr>
                <w:i/>
                <w:sz w:val="18"/>
              </w:rPr>
              <w:t xml:space="preserve">• </w:t>
            </w:r>
            <w:r w:rsidRPr="00D416A9">
              <w:rPr>
                <w:i/>
                <w:sz w:val="18"/>
                <w:u w:val="single"/>
              </w:rPr>
              <w:t>kommunikationen mellem koncernopgaveteamet og komponentrevisorerne bør være ubegrænset i det omfang, det er muligt ifølge lov eller øvrig regulering,</w:t>
            </w:r>
          </w:p>
          <w:p w:rsidR="00376D1F" w:rsidRPr="00D416A9" w:rsidRDefault="00376D1F" w:rsidP="00B132CE">
            <w:pPr>
              <w:rPr>
                <w:i/>
                <w:sz w:val="18"/>
              </w:rPr>
            </w:pPr>
            <w:r w:rsidRPr="00D416A9">
              <w:rPr>
                <w:i/>
                <w:sz w:val="18"/>
              </w:rPr>
              <w:t>• vigtig kommunikation mellem komponentrevisorer, komponentens øverste og daglige ledelse, herunder kommunikation om betydelige mangler i intern kontrol, bør ligeledes kommunikeres til koncernopgaveteamet,</w:t>
            </w:r>
          </w:p>
          <w:p w:rsidR="00376D1F" w:rsidRPr="00D416A9" w:rsidRDefault="00376D1F" w:rsidP="00B132CE">
            <w:pPr>
              <w:rPr>
                <w:i/>
                <w:sz w:val="18"/>
              </w:rPr>
            </w:pPr>
            <w:r w:rsidRPr="00D416A9">
              <w:rPr>
                <w:i/>
                <w:sz w:val="18"/>
              </w:rPr>
              <w:t xml:space="preserve">• vigtig kommunikation mellem myndigheder og komponenter om forhold vedrørende </w:t>
            </w:r>
            <w:r w:rsidRPr="00D416A9">
              <w:rPr>
                <w:i/>
                <w:sz w:val="18"/>
              </w:rPr>
              <w:lastRenderedPageBreak/>
              <w:t>regnskabsrapportering bør meddeles koncernopgaveteamet, og</w:t>
            </w:r>
          </w:p>
          <w:p w:rsidR="00376D1F" w:rsidRPr="00D416A9" w:rsidRDefault="00376D1F" w:rsidP="00B132CE">
            <w:pPr>
              <w:rPr>
                <w:i/>
                <w:sz w:val="18"/>
              </w:rPr>
            </w:pPr>
            <w:r w:rsidRPr="00D416A9">
              <w:rPr>
                <w:i/>
                <w:sz w:val="18"/>
              </w:rPr>
              <w:t>• i det omfang koncernopgaveteamet finder det nødvendigt, bør der gives:</w:t>
            </w:r>
          </w:p>
          <w:p w:rsidR="00376D1F" w:rsidRPr="00D416A9" w:rsidRDefault="00376D1F" w:rsidP="00B132CE">
            <w:pPr>
              <w:rPr>
                <w:i/>
                <w:sz w:val="18"/>
              </w:rPr>
            </w:pPr>
            <w:r w:rsidRPr="00D416A9">
              <w:rPr>
                <w:i/>
                <w:sz w:val="18"/>
              </w:rPr>
              <w:t xml:space="preserve">○ </w:t>
            </w:r>
            <w:r w:rsidRPr="00D416A9">
              <w:rPr>
                <w:i/>
                <w:sz w:val="18"/>
                <w:u w:val="single"/>
              </w:rPr>
              <w:t>adgang til komponentinformation, komponenters øverste og daglige ledelse samt komponentrevisorer</w:t>
            </w:r>
            <w:r w:rsidRPr="003729FB">
              <w:rPr>
                <w:sz w:val="18"/>
                <w:u w:val="single"/>
              </w:rPr>
              <w:t xml:space="preserve"> </w:t>
            </w:r>
            <w:r w:rsidRPr="00FC6F4E">
              <w:rPr>
                <w:i/>
                <w:sz w:val="18"/>
                <w:u w:val="single"/>
              </w:rPr>
              <w:t>(herunder relevant revisionsdokumentation, som koncernopgaveteamet anmoder om</w:t>
            </w:r>
            <w:r w:rsidRPr="00D416A9">
              <w:rPr>
                <w:i/>
                <w:sz w:val="18"/>
              </w:rPr>
              <w:t>), og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D416A9">
              <w:rPr>
                <w:i/>
                <w:sz w:val="18"/>
              </w:rPr>
              <w:t>○ adgang til at udføre arbejde eller anmode en komponentrevisor om at udføre arbejde vedrørende komponenternes finansielle information.</w:t>
            </w:r>
            <w:r w:rsidRPr="003729FB">
              <w:rPr>
                <w:i/>
                <w:sz w:val="18"/>
              </w:rPr>
              <w:t>”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sz w:val="18"/>
              </w:rPr>
              <w:t>1.1-47-</w:t>
            </w:r>
            <w:r>
              <w:rPr>
                <w:sz w:val="18"/>
              </w:rPr>
              <w:t>3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Henviser til, og omtaler, Revisorloven §</w:t>
            </w:r>
            <w:r>
              <w:rPr>
                <w:sz w:val="18"/>
              </w:rPr>
              <w:t xml:space="preserve"> </w:t>
            </w:r>
            <w:r w:rsidRPr="003729FB">
              <w:rPr>
                <w:sz w:val="18"/>
              </w:rPr>
              <w:t>30</w:t>
            </w:r>
            <w:r>
              <w:rPr>
                <w:sz w:val="18"/>
              </w:rPr>
              <w:t>,</w:t>
            </w:r>
            <w:r w:rsidRPr="003729FB">
              <w:rPr>
                <w:sz w:val="18"/>
              </w:rPr>
              <w:t xml:space="preserve"> stk. 2, som alene regulerer kommunikation (tavshedspligt) fra datterselskabsrevisor til moderselskabsrevisor, men </w:t>
            </w:r>
            <w:r w:rsidRPr="003729FB">
              <w:rPr>
                <w:b/>
                <w:sz w:val="18"/>
                <w:u w:val="single"/>
              </w:rPr>
              <w:t>ikke</w:t>
            </w:r>
            <w:r w:rsidRPr="003729FB">
              <w:rPr>
                <w:sz w:val="18"/>
              </w:rPr>
              <w:t xml:space="preserve"> omvendt.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sz w:val="18"/>
              </w:rPr>
              <w:t>1.1-47-</w:t>
            </w:r>
            <w:r>
              <w:rPr>
                <w:sz w:val="18"/>
              </w:rPr>
              <w:t>4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Er opmærksom på, at der ikke kan kommunikeres</w:t>
            </w:r>
            <w:r>
              <w:rPr>
                <w:sz w:val="18"/>
              </w:rPr>
              <w:t xml:space="preserve"> alene</w:t>
            </w:r>
            <w:r w:rsidRPr="003729FB">
              <w:rPr>
                <w:sz w:val="18"/>
              </w:rPr>
              <w:t xml:space="preserve"> med et enkelt bestyrelsesmedlem</w:t>
            </w:r>
            <w:r>
              <w:rPr>
                <w:sz w:val="18"/>
              </w:rPr>
              <w:t xml:space="preserve"> eller en næstformand</w:t>
            </w:r>
            <w:r w:rsidRPr="003729FB">
              <w:rPr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89715C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1.1-47-5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Øvrige forhold, som får notatet til at fremstå mere målrettet.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  <w:tc>
          <w:tcPr>
            <w:tcW w:w="4379" w:type="dxa"/>
          </w:tcPr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b/>
                <w:sz w:val="18"/>
              </w:rPr>
              <w:t>Samlet vurdering af</w:t>
            </w:r>
            <w:r>
              <w:rPr>
                <w:b/>
                <w:sz w:val="18"/>
              </w:rPr>
              <w:t>,</w:t>
            </w:r>
            <w:r w:rsidRPr="00C2291B">
              <w:rPr>
                <w:b/>
                <w:sz w:val="18"/>
              </w:rPr>
              <w:t xml:space="preserve"> om kandidatens præstation er</w:t>
            </w:r>
            <w:r>
              <w:rPr>
                <w:b/>
                <w:sz w:val="18"/>
              </w:rPr>
              <w:t xml:space="preserve"> jævn eller god</w:t>
            </w:r>
            <w:r w:rsidRPr="00C2291B">
              <w:rPr>
                <w:b/>
                <w:sz w:val="18"/>
              </w:rPr>
              <w:t xml:space="preserve"> (karakteren 4-7)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Pr="00C2291B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Karaktere</w:t>
            </w:r>
            <w:r>
              <w:rPr>
                <w:b/>
                <w:sz w:val="18"/>
              </w:rPr>
              <w:t>r</w:t>
            </w:r>
            <w:r w:rsidRPr="00C2291B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C2291B">
              <w:rPr>
                <w:b/>
                <w:sz w:val="18"/>
              </w:rPr>
              <w:t xml:space="preserve"> 10-12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Et eller flere af</w:t>
            </w:r>
            <w:r w:rsidRPr="00C2291B">
              <w:rPr>
                <w:b/>
                <w:sz w:val="18"/>
              </w:rPr>
              <w:t xml:space="preserve"> følgende punkter bør være behandlet tilfredsstillende</w:t>
            </w:r>
            <w:r>
              <w:rPr>
                <w:b/>
                <w:sz w:val="18"/>
              </w:rPr>
              <w:t>,</w:t>
            </w:r>
            <w:r w:rsidRPr="00C2291B">
              <w:rPr>
                <w:b/>
                <w:sz w:val="18"/>
              </w:rPr>
              <w:t xml:space="preserve"> for at kandidatens besvarelse er fortrinlig eller fremragende (det vil sige </w:t>
            </w:r>
            <w:r w:rsidRPr="009103B8">
              <w:rPr>
                <w:b/>
                <w:sz w:val="18"/>
              </w:rPr>
              <w:t>karaktere</w:t>
            </w:r>
            <w:r>
              <w:rPr>
                <w:b/>
                <w:sz w:val="18"/>
              </w:rPr>
              <w:t>r</w:t>
            </w:r>
            <w:r w:rsidRPr="009103B8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9103B8">
              <w:rPr>
                <w:b/>
                <w:sz w:val="18"/>
              </w:rPr>
              <w:t xml:space="preserve"> 10-12).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rFonts w:cstheme="minorHAnsi"/>
                <w:color w:val="3B3838" w:themeColor="background2" w:themeShade="40"/>
                <w:sz w:val="16"/>
                <w:szCs w:val="20"/>
                <w:u w:val="single"/>
              </w:rPr>
            </w:pPr>
            <w:r w:rsidRPr="00C2291B">
              <w:rPr>
                <w:b/>
                <w:sz w:val="18"/>
              </w:rPr>
              <w:t>Bemærkninger</w:t>
            </w:r>
            <w:r w:rsidRPr="00C2291B">
              <w:rPr>
                <w:b/>
                <w:sz w:val="18"/>
              </w:rPr>
              <w:br/>
            </w:r>
            <w:r w:rsidRPr="00C2291B">
              <w:rPr>
                <w:rFonts w:cstheme="minorHAnsi"/>
                <w:b/>
                <w:color w:val="3B3838" w:themeColor="background2" w:themeShade="40"/>
                <w:sz w:val="16"/>
                <w:szCs w:val="20"/>
              </w:rPr>
              <w:t>Den fortrinlige præstation og den fremragende præstation</w:t>
            </w:r>
            <w:r w:rsidRPr="00C2291B">
              <w:rPr>
                <w:rFonts w:cstheme="minorHAnsi"/>
                <w:b/>
                <w:color w:val="3B3838" w:themeColor="background2" w:themeShade="4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</w:rPr>
              <w:t xml:space="preserve">Karakteren 10 gives for den fortrinlige præstation, der demonstrerer omfattende </w:t>
            </w: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  <w:u w:val="single"/>
              </w:rPr>
              <w:t>opfyldelse af fagets mål, med nogle mindre væsentlige mangler</w:t>
            </w:r>
          </w:p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</w:rPr>
              <w:t xml:space="preserve">Karakteren 12 gives for den fremragende præstation, der demonstrerer </w:t>
            </w: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  <w:u w:val="single"/>
              </w:rPr>
              <w:t>udtømmende opfyldelse af fagets mål, med ingen eller få uvæsentlige mangler</w:t>
            </w: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sz w:val="18"/>
              </w:rPr>
              <w:t>1.1-102-1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Kandidaten medtager uddrag (</w:t>
            </w:r>
            <w:proofErr w:type="gramStart"/>
            <w:r w:rsidRPr="003729FB">
              <w:rPr>
                <w:sz w:val="18"/>
              </w:rPr>
              <w:t>eksempelvis</w:t>
            </w:r>
            <w:proofErr w:type="gramEnd"/>
            <w:r w:rsidRPr="003729FB">
              <w:rPr>
                <w:sz w:val="18"/>
              </w:rPr>
              <w:t xml:space="preserve"> punktform) af revisionsaftalen, der har betydning for tavshedspligten. Dette kunne </w:t>
            </w:r>
            <w:proofErr w:type="gramStart"/>
            <w:r w:rsidRPr="003729FB">
              <w:rPr>
                <w:sz w:val="18"/>
              </w:rPr>
              <w:t>eksempelvis</w:t>
            </w:r>
            <w:proofErr w:type="gramEnd"/>
            <w:r w:rsidRPr="003729FB">
              <w:rPr>
                <w:sz w:val="18"/>
              </w:rPr>
              <w:t xml:space="preserve"> være:</w:t>
            </w:r>
          </w:p>
          <w:p w:rsidR="00376D1F" w:rsidRPr="003729FB" w:rsidRDefault="00376D1F" w:rsidP="00376D1F">
            <w:pPr>
              <w:pStyle w:val="Listeafsnit"/>
              <w:numPr>
                <w:ilvl w:val="0"/>
                <w:numId w:val="1"/>
              </w:numPr>
              <w:rPr>
                <w:sz w:val="18"/>
              </w:rPr>
            </w:pPr>
            <w:r w:rsidRPr="003729FB">
              <w:rPr>
                <w:sz w:val="18"/>
              </w:rPr>
              <w:t>… som koncernrevisor har adgang til at kommunikere med komponentrevisoren …</w:t>
            </w:r>
          </w:p>
          <w:p w:rsidR="00376D1F" w:rsidRPr="003729FB" w:rsidRDefault="00376D1F" w:rsidP="00B132CE">
            <w:pPr>
              <w:pStyle w:val="Listeafsnit"/>
              <w:rPr>
                <w:sz w:val="18"/>
              </w:rPr>
            </w:pPr>
          </w:p>
          <w:p w:rsidR="00376D1F" w:rsidRPr="00FC6F4E" w:rsidRDefault="00376D1F" w:rsidP="00376D1F">
            <w:pPr>
              <w:pStyle w:val="Listeafsnit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3729FB">
              <w:rPr>
                <w:sz w:val="18"/>
              </w:rPr>
              <w:t>… som led i revisionen af koncernregnskabet, vil vi drøfte revisionen og andre forhold af relevans for koncernen og koncernregnskabet med komponentrevisoren …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sz w:val="18"/>
              </w:rPr>
              <w:lastRenderedPageBreak/>
              <w:t>1.1-102-2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 xml:space="preserve">Forslag til indhold i kontakt til tysk revisor, hvor der </w:t>
            </w:r>
            <w:r>
              <w:rPr>
                <w:sz w:val="18"/>
              </w:rPr>
              <w:t xml:space="preserve">evt. </w:t>
            </w:r>
            <w:r w:rsidRPr="003729FB">
              <w:rPr>
                <w:sz w:val="18"/>
              </w:rPr>
              <w:t xml:space="preserve">er taget højde for, at det sandsynligvis er en forglemmelse. 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EB2ED9" w:rsidRDefault="00376D1F" w:rsidP="00B132CE">
            <w:pPr>
              <w:rPr>
                <w:sz w:val="18"/>
              </w:rPr>
            </w:pPr>
            <w:r w:rsidRPr="00EB2ED9">
              <w:rPr>
                <w:sz w:val="18"/>
              </w:rPr>
              <w:t>1.1-102-3</w:t>
            </w:r>
          </w:p>
        </w:tc>
        <w:tc>
          <w:tcPr>
            <w:tcW w:w="4379" w:type="dxa"/>
          </w:tcPr>
          <w:p w:rsidR="00376D1F" w:rsidRPr="00DE5C74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t>Mindre væsentlige faglige fejl og mindre fejl vedrørende formulering og disponering. (10)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EB2ED9" w:rsidRDefault="00376D1F" w:rsidP="00B132CE">
            <w:pPr>
              <w:rPr>
                <w:sz w:val="18"/>
              </w:rPr>
            </w:pPr>
            <w:r w:rsidRPr="00EB2ED9">
              <w:rPr>
                <w:sz w:val="18"/>
              </w:rPr>
              <w:t>1.1-102-4</w:t>
            </w:r>
          </w:p>
        </w:tc>
        <w:tc>
          <w:tcPr>
            <w:tcW w:w="4379" w:type="dxa"/>
          </w:tcPr>
          <w:p w:rsidR="00376D1F" w:rsidRPr="00DE5C74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t>Kun helt uvæsentlige fejl og mangler i notatet. (12)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  <w:tc>
          <w:tcPr>
            <w:tcW w:w="4379" w:type="dxa"/>
          </w:tcPr>
          <w:p w:rsidR="00376D1F" w:rsidRPr="009103B8" w:rsidRDefault="00376D1F" w:rsidP="00B132CE">
            <w:pPr>
              <w:rPr>
                <w:sz w:val="18"/>
              </w:rPr>
            </w:pPr>
            <w:r w:rsidRPr="009103B8">
              <w:rPr>
                <w:b/>
                <w:sz w:val="18"/>
              </w:rPr>
              <w:t>Samlet vurdering af</w:t>
            </w:r>
            <w:r>
              <w:rPr>
                <w:b/>
                <w:sz w:val="18"/>
              </w:rPr>
              <w:t>,</w:t>
            </w:r>
            <w:r w:rsidRPr="009103B8">
              <w:rPr>
                <w:b/>
                <w:sz w:val="18"/>
              </w:rPr>
              <w:t xml:space="preserve"> om kandidatens præstation er fortrinlig eller fremragende (karaktere</w:t>
            </w:r>
            <w:r>
              <w:rPr>
                <w:b/>
                <w:sz w:val="18"/>
              </w:rPr>
              <w:t>r</w:t>
            </w:r>
            <w:r w:rsidRPr="009103B8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9103B8">
              <w:rPr>
                <w:b/>
                <w:sz w:val="18"/>
              </w:rPr>
              <w:t xml:space="preserve"> 10-12)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Pr="009103B8" w:rsidRDefault="00376D1F" w:rsidP="00B132CE">
            <w:pPr>
              <w:rPr>
                <w:b/>
                <w:sz w:val="18"/>
              </w:rPr>
            </w:pPr>
            <w:r w:rsidRPr="009103B8">
              <w:rPr>
                <w:b/>
                <w:sz w:val="18"/>
              </w:rPr>
              <w:t>Karakter for spørgsmål 1.1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9628" w:type="dxa"/>
            <w:gridSpan w:val="3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Begrundelse </w:t>
            </w:r>
          </w:p>
        </w:tc>
      </w:tr>
    </w:tbl>
    <w:p w:rsidR="00376D1F" w:rsidRDefault="00376D1F" w:rsidP="00376D1F">
      <w:pPr>
        <w:rPr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"/>
        <w:gridCol w:w="4379"/>
        <w:gridCol w:w="4246"/>
      </w:tblGrid>
      <w:tr w:rsidR="00376D1F" w:rsidRPr="00487CA0" w:rsidTr="00B132CE">
        <w:tc>
          <w:tcPr>
            <w:tcW w:w="9628" w:type="dxa"/>
            <w:gridSpan w:val="3"/>
          </w:tcPr>
          <w:p w:rsidR="00376D1F" w:rsidRDefault="00376D1F" w:rsidP="00B132CE">
            <w:pPr>
              <w:rPr>
                <w:b/>
                <w:i/>
                <w:sz w:val="18"/>
              </w:rPr>
            </w:pPr>
            <w:r w:rsidRPr="009103B8">
              <w:rPr>
                <w:b/>
              </w:rPr>
              <w:t>Spørgsmål 2.1 (40 %)</w:t>
            </w:r>
          </w:p>
          <w:p w:rsidR="00376D1F" w:rsidRPr="00DE5C74" w:rsidRDefault="00376D1F" w:rsidP="00B132CE">
            <w:pPr>
              <w:spacing w:after="0"/>
              <w:rPr>
                <w:b/>
                <w:sz w:val="18"/>
              </w:rPr>
            </w:pPr>
            <w:r w:rsidRPr="00DE5C74">
              <w:rPr>
                <w:b/>
                <w:sz w:val="18"/>
              </w:rPr>
              <w:t>Du bedes udarbejde et notat til din chef, der redegør for dine overvejelser vedrørende fratrædelse af opgaven. Notatet skal indeholde din anbefaling om</w:t>
            </w:r>
            <w:r>
              <w:rPr>
                <w:b/>
                <w:sz w:val="18"/>
              </w:rPr>
              <w:t>,</w:t>
            </w:r>
            <w:r w:rsidRPr="00DE5C74">
              <w:rPr>
                <w:b/>
                <w:sz w:val="18"/>
              </w:rPr>
              <w:t xml:space="preserve"> hvorvidt I skal fratræde som revisorer eller ej, og i givet fald, hvornår I skal fratræde. </w:t>
            </w:r>
          </w:p>
          <w:p w:rsidR="00376D1F" w:rsidRPr="00DE5C74" w:rsidRDefault="00376D1F" w:rsidP="00B132CE">
            <w:pPr>
              <w:spacing w:after="0"/>
              <w:rPr>
                <w:b/>
                <w:i/>
                <w:sz w:val="18"/>
              </w:rPr>
            </w:pPr>
          </w:p>
        </w:tc>
      </w:tr>
      <w:tr w:rsidR="00376D1F" w:rsidRPr="007F48D5" w:rsidTr="00B132CE">
        <w:tc>
          <w:tcPr>
            <w:tcW w:w="9628" w:type="dxa"/>
            <w:gridSpan w:val="3"/>
          </w:tcPr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b/>
                <w:sz w:val="18"/>
              </w:rPr>
              <w:t>Centrale regler og fortolkninger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Revisorloven § 18, stk. 1 og 2.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God revisorskik ”bliv og skriv” – problemet flyttes til en anden revisor.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ISA 210, forudsætningerne for revisionsopgaven.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Selskabsloven § 146</w:t>
            </w:r>
            <w:r>
              <w:rPr>
                <w:sz w:val="18"/>
              </w:rPr>
              <w:t>,</w:t>
            </w:r>
            <w:r w:rsidRPr="003729FB">
              <w:rPr>
                <w:sz w:val="18"/>
              </w:rPr>
              <w:t xml:space="preserve"> stk. 2, meddelelse til Erhvervsstyrelsen samt rapportering til ledelsen.</w:t>
            </w:r>
          </w:p>
          <w:p w:rsidR="00DA5782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 xml:space="preserve">Anmeldelse efter </w:t>
            </w:r>
            <w:r w:rsidRPr="003729FB">
              <w:rPr>
                <w:sz w:val="18"/>
              </w:rPr>
              <w:t>R</w:t>
            </w:r>
            <w:r>
              <w:rPr>
                <w:sz w:val="18"/>
              </w:rPr>
              <w:t>evisorloven</w:t>
            </w:r>
            <w:r w:rsidRPr="003729FB">
              <w:rPr>
                <w:sz w:val="18"/>
              </w:rPr>
              <w:t xml:space="preserve"> § 22</w:t>
            </w:r>
            <w:r>
              <w:rPr>
                <w:sz w:val="18"/>
              </w:rPr>
              <w:t xml:space="preserve"> og underretning efter hvidvaskloven § 26 </w:t>
            </w:r>
          </w:p>
          <w:p w:rsidR="00376D1F" w:rsidRPr="00DB397A" w:rsidRDefault="00376D1F" w:rsidP="00DA5782">
            <w:pPr>
              <w:rPr>
                <w:i/>
                <w:sz w:val="18"/>
              </w:rPr>
            </w:pPr>
            <w:r w:rsidRPr="003729FB">
              <w:rPr>
                <w:sz w:val="18"/>
              </w:rPr>
              <w:t xml:space="preserve">ISA 240 ved </w:t>
            </w:r>
            <w:proofErr w:type="gramStart"/>
            <w:r w:rsidRPr="003729FB">
              <w:rPr>
                <w:sz w:val="18"/>
              </w:rPr>
              <w:t>økonomisk</w:t>
            </w:r>
            <w:proofErr w:type="gramEnd"/>
            <w:r w:rsidRPr="003729FB">
              <w:rPr>
                <w:sz w:val="18"/>
              </w:rPr>
              <w:t xml:space="preserve"> kriminalitet</w:t>
            </w:r>
            <w:r>
              <w:rPr>
                <w:sz w:val="18"/>
              </w:rPr>
              <w:t>/besvigelser</w:t>
            </w:r>
            <w:r w:rsidR="00DA5782">
              <w:rPr>
                <w:sz w:val="18"/>
              </w:rPr>
              <w:t>.</w:t>
            </w: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Pr="005D68C4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Karakteren 02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De fleste af følgende </w:t>
            </w:r>
            <w:r>
              <w:rPr>
                <w:b/>
                <w:sz w:val="18"/>
              </w:rPr>
              <w:t>forhold</w:t>
            </w:r>
            <w:r w:rsidRPr="00C2291B">
              <w:rPr>
                <w:b/>
                <w:sz w:val="18"/>
              </w:rPr>
              <w:t xml:space="preserve"> bør sædvanligvis være </w:t>
            </w:r>
            <w:r>
              <w:rPr>
                <w:b/>
                <w:sz w:val="18"/>
              </w:rPr>
              <w:t>indarbejdet i besvarelsen</w:t>
            </w:r>
            <w:r w:rsidRPr="00C2291B">
              <w:rPr>
                <w:b/>
                <w:sz w:val="18"/>
              </w:rPr>
              <w:t>, for at opnå karakteren 02.</w:t>
            </w:r>
            <w:r>
              <w:rPr>
                <w:b/>
                <w:sz w:val="18"/>
              </w:rPr>
              <w:t xml:space="preserve"> Den detaljeringsgrad/omfanget, som er minimalt acceptabelt, kan variere fra forhold til forhold.  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Særlige forhold kan tale for en anden vurdering. Herunder </w:t>
            </w:r>
            <w:r>
              <w:rPr>
                <w:b/>
                <w:sz w:val="18"/>
              </w:rPr>
              <w:t xml:space="preserve">kan </w:t>
            </w:r>
            <w:r w:rsidRPr="00C2291B">
              <w:rPr>
                <w:b/>
                <w:sz w:val="18"/>
              </w:rPr>
              <w:t>behandlingen af problemstillinger</w:t>
            </w:r>
            <w:r>
              <w:rPr>
                <w:b/>
                <w:sz w:val="18"/>
              </w:rPr>
              <w:t>,</w:t>
            </w:r>
            <w:r w:rsidRPr="00C2291B">
              <w:rPr>
                <w:b/>
                <w:sz w:val="18"/>
              </w:rPr>
              <w:t xml:space="preserve"> omtalt under karaktererne 4-12</w:t>
            </w:r>
            <w:r>
              <w:rPr>
                <w:b/>
                <w:sz w:val="18"/>
              </w:rPr>
              <w:t xml:space="preserve">, påvirke bedømmelsen positivt, jf. indledningen. </w:t>
            </w:r>
          </w:p>
        </w:tc>
        <w:tc>
          <w:tcPr>
            <w:tcW w:w="4246" w:type="dxa"/>
          </w:tcPr>
          <w:p w:rsidR="00376D1F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Bemærkninger</w:t>
            </w:r>
            <w:r w:rsidRPr="00C2291B">
              <w:rPr>
                <w:b/>
                <w:sz w:val="18"/>
              </w:rPr>
              <w:br/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t>Den tilstrækkelige præstation</w:t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0"/>
                <w:shd w:val="clear" w:color="auto" w:fill="FFFFFF"/>
              </w:rPr>
              <w:t xml:space="preserve">Karakteren 02 gives for den tilstrækkelige præstation, der demonstrerer den 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0"/>
                <w:u w:val="single"/>
                <w:shd w:val="clear" w:color="auto" w:fill="FFFFFF"/>
              </w:rPr>
              <w:t>minimalt acceptable grad af opfyldelse af fagets mål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0"/>
                <w:shd w:val="clear" w:color="auto" w:fill="FFFFFF"/>
              </w:rPr>
              <w:t>.</w:t>
            </w:r>
          </w:p>
        </w:tc>
      </w:tr>
      <w:tr w:rsidR="00376D1F" w:rsidRPr="00487CA0" w:rsidTr="00B132CE">
        <w:tc>
          <w:tcPr>
            <w:tcW w:w="1003" w:type="dxa"/>
          </w:tcPr>
          <w:p w:rsidR="00376D1F" w:rsidRPr="00154ADE" w:rsidDel="007A46B9" w:rsidRDefault="00376D1F" w:rsidP="00B132CE">
            <w:pPr>
              <w:rPr>
                <w:sz w:val="18"/>
              </w:rPr>
            </w:pPr>
            <w:r w:rsidRPr="00154ADE">
              <w:rPr>
                <w:sz w:val="18"/>
              </w:rPr>
              <w:t>2.1-02-1</w:t>
            </w:r>
          </w:p>
        </w:tc>
        <w:tc>
          <w:tcPr>
            <w:tcW w:w="4379" w:type="dxa"/>
          </w:tcPr>
          <w:p w:rsidR="00376D1F" w:rsidRPr="00FC6F4E" w:rsidRDefault="00376D1F" w:rsidP="00B132CE">
            <w:pPr>
              <w:rPr>
                <w:b/>
                <w:sz w:val="18"/>
              </w:rPr>
            </w:pPr>
            <w:r>
              <w:rPr>
                <w:sz w:val="18"/>
              </w:rPr>
              <w:t>Notat er</w:t>
            </w:r>
            <w:r w:rsidRPr="003729FB">
              <w:rPr>
                <w:sz w:val="18"/>
              </w:rPr>
              <w:t xml:space="preserve"> kortfattet og begrundet</w:t>
            </w:r>
            <w:r>
              <w:rPr>
                <w:sz w:val="18"/>
              </w:rPr>
              <w:t xml:space="preserve"> og udarbejdet</w:t>
            </w:r>
            <w:r w:rsidRPr="003729FB">
              <w:rPr>
                <w:sz w:val="18"/>
              </w:rPr>
              <w:t xml:space="preserve"> i et passende sprog til en chef.</w:t>
            </w:r>
          </w:p>
        </w:tc>
        <w:tc>
          <w:tcPr>
            <w:tcW w:w="4246" w:type="dxa"/>
          </w:tcPr>
          <w:p w:rsidR="00376D1F" w:rsidRPr="00154ADE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 w:rsidRPr="00154ADE">
              <w:rPr>
                <w:sz w:val="18"/>
              </w:rPr>
              <w:t>2.1-02-</w:t>
            </w:r>
            <w:r>
              <w:rPr>
                <w:sz w:val="18"/>
              </w:rPr>
              <w:t>2</w:t>
            </w:r>
          </w:p>
        </w:tc>
        <w:tc>
          <w:tcPr>
            <w:tcW w:w="4379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Notatet er fornuftigt disponeret kan indeholde følgende:</w:t>
            </w:r>
          </w:p>
          <w:p w:rsidR="00376D1F" w:rsidRPr="00AB20B5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 w:rsidRPr="00AB20B5">
              <w:rPr>
                <w:sz w:val="18"/>
              </w:rPr>
              <w:t xml:space="preserve">Beskrivelse af problemstillingen </w:t>
            </w:r>
          </w:p>
          <w:p w:rsidR="00376D1F" w:rsidRPr="00AB20B5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Omtale af reglerne</w:t>
            </w:r>
          </w:p>
          <w:p w:rsidR="00376D1F" w:rsidRPr="00AB20B5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Diskussion, for og imod fratræden </w:t>
            </w:r>
          </w:p>
          <w:p w:rsidR="00376D1F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Anbefaling 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Handlinger, som skal udføres som følge af anbefalingen 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C2291B">
              <w:rPr>
                <w:sz w:val="18"/>
              </w:rPr>
              <w:t>.1-02-</w:t>
            </w:r>
            <w:r>
              <w:rPr>
                <w:sz w:val="18"/>
              </w:rPr>
              <w:t>3</w:t>
            </w:r>
          </w:p>
        </w:tc>
        <w:tc>
          <w:tcPr>
            <w:tcW w:w="4379" w:type="dxa"/>
          </w:tcPr>
          <w:p w:rsidR="00376D1F" w:rsidRPr="00FC6F4E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Kandidaten f</w:t>
            </w:r>
            <w:r w:rsidRPr="003729FB">
              <w:rPr>
                <w:sz w:val="18"/>
              </w:rPr>
              <w:t>okus</w:t>
            </w:r>
            <w:r>
              <w:rPr>
                <w:sz w:val="18"/>
              </w:rPr>
              <w:t>erer</w:t>
            </w:r>
            <w:r w:rsidRPr="003729FB">
              <w:rPr>
                <w:sz w:val="18"/>
              </w:rPr>
              <w:t xml:space="preserve"> på problemstillingen</w:t>
            </w:r>
            <w:r>
              <w:rPr>
                <w:sz w:val="18"/>
              </w:rPr>
              <w:t>: O</w:t>
            </w:r>
            <w:r w:rsidRPr="003729FB">
              <w:rPr>
                <w:sz w:val="18"/>
              </w:rPr>
              <w:t>vervejelser omkring fratræden.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2.1.02-4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 xml:space="preserve">Kandidaten </w:t>
            </w:r>
            <w:r w:rsidR="00652EC0">
              <w:rPr>
                <w:sz w:val="18"/>
              </w:rPr>
              <w:t xml:space="preserve">skal </w:t>
            </w:r>
            <w:r>
              <w:rPr>
                <w:sz w:val="18"/>
              </w:rPr>
              <w:t>indse, at der alene er tale om oplysninger fra en fratrådt revisor, som endnu ikke er undersøgt eller bekræftet.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2.1.02-5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 xml:space="preserve">Kandidaten </w:t>
            </w:r>
            <w:r w:rsidR="00652EC0">
              <w:rPr>
                <w:sz w:val="18"/>
              </w:rPr>
              <w:t xml:space="preserve">skal </w:t>
            </w:r>
            <w:r>
              <w:rPr>
                <w:sz w:val="18"/>
              </w:rPr>
              <w:t>lægge op til, at</w:t>
            </w:r>
            <w:r w:rsidRPr="003729FB">
              <w:rPr>
                <w:sz w:val="18"/>
              </w:rPr>
              <w:t xml:space="preserve"> der laves selvstændige undersøgelser</w:t>
            </w:r>
            <w:r>
              <w:rPr>
                <w:sz w:val="18"/>
              </w:rPr>
              <w:t xml:space="preserve"> af forholdet. </w:t>
            </w:r>
            <w:proofErr w:type="gramStart"/>
            <w:r w:rsidR="002F454E">
              <w:rPr>
                <w:sz w:val="18"/>
              </w:rPr>
              <w:t>Eksempelvis</w:t>
            </w:r>
            <w:proofErr w:type="gramEnd"/>
            <w:r w:rsidR="002F454E">
              <w:rPr>
                <w:sz w:val="18"/>
              </w:rPr>
              <w:t xml:space="preserve"> ved at tage kontakt til tidligere revisor eller ved at udvide sin egne undersøgelser.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C2291B">
              <w:rPr>
                <w:sz w:val="18"/>
              </w:rPr>
              <w:t>.1-02-</w:t>
            </w:r>
            <w:r>
              <w:rPr>
                <w:sz w:val="18"/>
              </w:rPr>
              <w:t>6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Det</w:t>
            </w:r>
            <w:r>
              <w:rPr>
                <w:sz w:val="18"/>
              </w:rPr>
              <w:t xml:space="preserve"> er</w:t>
            </w:r>
            <w:r w:rsidRPr="003729FB">
              <w:rPr>
                <w:sz w:val="18"/>
              </w:rPr>
              <w:t xml:space="preserve"> afgørende, at kandidaten argumenterer for sine overvejelser.</w:t>
            </w:r>
          </w:p>
          <w:p w:rsidR="00376D1F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 xml:space="preserve">Kandidaten </w:t>
            </w:r>
            <w:r w:rsidR="002F454E">
              <w:rPr>
                <w:sz w:val="18"/>
              </w:rPr>
              <w:t>kan</w:t>
            </w:r>
            <w:r w:rsidR="002F454E" w:rsidRPr="003729FB">
              <w:rPr>
                <w:sz w:val="18"/>
              </w:rPr>
              <w:t xml:space="preserve"> </w:t>
            </w:r>
            <w:r w:rsidR="002F454E">
              <w:rPr>
                <w:sz w:val="18"/>
              </w:rPr>
              <w:t xml:space="preserve">fx </w:t>
            </w:r>
            <w:r w:rsidRPr="003729FB">
              <w:rPr>
                <w:sz w:val="18"/>
              </w:rPr>
              <w:t>vurdere</w:t>
            </w:r>
            <w:r>
              <w:rPr>
                <w:sz w:val="18"/>
              </w:rPr>
              <w:t xml:space="preserve"> sin</w:t>
            </w:r>
            <w:r w:rsidRPr="003729F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eventuelle </w:t>
            </w:r>
            <w:r w:rsidRPr="003729FB">
              <w:rPr>
                <w:sz w:val="18"/>
              </w:rPr>
              <w:t>fratrædelse ud fra følgende:</w:t>
            </w:r>
          </w:p>
          <w:p w:rsidR="00376D1F" w:rsidRDefault="00376D1F" w:rsidP="00376D1F">
            <w:pPr>
              <w:pStyle w:val="Listeafsnit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Resultatet af de yderligere undersøgelser </w:t>
            </w:r>
          </w:p>
          <w:p w:rsidR="00376D1F" w:rsidRDefault="00376D1F" w:rsidP="00376D1F">
            <w:pPr>
              <w:pStyle w:val="Listeafsnit"/>
              <w:numPr>
                <w:ilvl w:val="0"/>
                <w:numId w:val="3"/>
              </w:numPr>
              <w:rPr>
                <w:sz w:val="18"/>
              </w:rPr>
            </w:pPr>
            <w:r w:rsidRPr="00DE5C74">
              <w:rPr>
                <w:sz w:val="18"/>
              </w:rPr>
              <w:t xml:space="preserve">Om der foregået hvidvask/sortvask/øvrig kriminalitet 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3"/>
              </w:numPr>
              <w:rPr>
                <w:sz w:val="18"/>
              </w:rPr>
            </w:pPr>
            <w:r w:rsidRPr="00DE5C74">
              <w:rPr>
                <w:sz w:val="18"/>
              </w:rPr>
              <w:t>Om der fortsat er tillid til ledelsen</w:t>
            </w:r>
            <w:r>
              <w:rPr>
                <w:sz w:val="18"/>
              </w:rPr>
              <w:t xml:space="preserve"> (forudsætning ved revisionen)</w:t>
            </w:r>
          </w:p>
          <w:p w:rsidR="00376D1F" w:rsidRDefault="00376D1F" w:rsidP="00376D1F">
            <w:pPr>
              <w:pStyle w:val="Listeafsnit"/>
              <w:numPr>
                <w:ilvl w:val="0"/>
                <w:numId w:val="3"/>
              </w:numPr>
              <w:rPr>
                <w:sz w:val="18"/>
              </w:rPr>
            </w:pPr>
            <w:r w:rsidRPr="00DE5C74">
              <w:rPr>
                <w:sz w:val="18"/>
              </w:rPr>
              <w:t>Om der er muligt at fratræde i henhold til R</w:t>
            </w:r>
            <w:r>
              <w:rPr>
                <w:sz w:val="18"/>
              </w:rPr>
              <w:t>evisorloven</w:t>
            </w:r>
            <w:r w:rsidRPr="00DE5C74">
              <w:rPr>
                <w:sz w:val="18"/>
              </w:rPr>
              <w:t xml:space="preserve"> § 18 </w:t>
            </w:r>
            <w:r>
              <w:rPr>
                <w:sz w:val="18"/>
              </w:rPr>
              <w:t>(god revisorskik – bliv og skriv)</w:t>
            </w:r>
          </w:p>
          <w:p w:rsidR="00376D1F" w:rsidRDefault="00376D1F" w:rsidP="00376D1F">
            <w:pPr>
              <w:pStyle w:val="Listeafsnit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Overvejelser om at være offentlighedens tillidsrepræsentant</w:t>
            </w:r>
          </w:p>
          <w:p w:rsidR="00376D1F" w:rsidRPr="003729FB" w:rsidRDefault="00376D1F" w:rsidP="00376D1F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DE5C74">
              <w:rPr>
                <w:sz w:val="18"/>
              </w:rPr>
              <w:t xml:space="preserve">Associeringsrisiko </w:t>
            </w:r>
            <w:r w:rsidRPr="003729FB">
              <w:rPr>
                <w:b/>
              </w:rPr>
              <w:t xml:space="preserve"> </w:t>
            </w:r>
          </w:p>
          <w:p w:rsidR="00376D1F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t>Kandidaten kan argumentere for at blive og varetage hvervet som offentlighedens tillidsrepræsentant</w:t>
            </w:r>
            <w:r>
              <w:rPr>
                <w:sz w:val="18"/>
              </w:rPr>
              <w:t xml:space="preserve"> (bliv og skriv -betragtning)</w:t>
            </w:r>
            <w:r w:rsidRPr="00DE5C74">
              <w:rPr>
                <w:sz w:val="18"/>
              </w:rPr>
              <w:t>. Hvis kandidaten vælger dette, er det vigtigt at medtage overvejelser om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hvorvidt forudsætningerne for revisionen er tilstede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herunder tillid til ledelsen. </w:t>
            </w:r>
          </w:p>
          <w:p w:rsidR="00376D1F" w:rsidRPr="00DE5C74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t>Kandidaten kan vælge at fratræde som følge af manglende tillid ledelsen, associeringsrisikoen</w:t>
            </w:r>
            <w:r>
              <w:rPr>
                <w:sz w:val="18"/>
              </w:rPr>
              <w:t xml:space="preserve"> </w:t>
            </w:r>
            <w:r w:rsidRPr="00DE5C74">
              <w:rPr>
                <w:sz w:val="18"/>
              </w:rPr>
              <w:t>og forholdene i</w:t>
            </w:r>
            <w:r>
              <w:rPr>
                <w:sz w:val="18"/>
              </w:rPr>
              <w:t xml:space="preserve"> </w:t>
            </w:r>
            <w:r w:rsidRPr="00DE5C74">
              <w:rPr>
                <w:sz w:val="18"/>
              </w:rPr>
              <w:t>øvrigt. Kandidaten bør dog ikke komme til denne konklusion uden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at der er foretaget yderligere undersøgelser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der underbygger problemet. </w:t>
            </w:r>
          </w:p>
          <w:p w:rsidR="00376D1F" w:rsidRPr="00DE5C74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Hvis kandidaten vælger at fratræde, er det vigtigt, at kandidaten medtager etiske overvejelser om at fratræde i utide og dermed potentielt sende problemet videre til anden revisor.</w:t>
            </w:r>
          </w:p>
          <w:p w:rsidR="00376D1F" w:rsidRPr="00DE5C74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lastRenderedPageBreak/>
              <w:t>Kandidaten kan også argumentere for at blive og skrive og fratræde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når hvervet udløber. 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 xml:space="preserve">Ovenstående er ikke nødvendigvis udtømmende. Det er kandidatens forudsætninger, som er afgørende. 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 xml:space="preserve">Der skal være sammenhæng mellem argumentation og lovgivning/regulering. 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A90B4E" w:rsidRDefault="00376D1F" w:rsidP="00B132CE">
            <w:pPr>
              <w:rPr>
                <w:sz w:val="18"/>
              </w:rPr>
            </w:pPr>
            <w:r w:rsidRPr="00A90B4E">
              <w:rPr>
                <w:sz w:val="18"/>
              </w:rPr>
              <w:t>2.1-02-</w:t>
            </w:r>
            <w:r>
              <w:rPr>
                <w:sz w:val="18"/>
              </w:rPr>
              <w:t>7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tabs>
                <w:tab w:val="left" w:pos="2580"/>
              </w:tabs>
              <w:rPr>
                <w:sz w:val="18"/>
              </w:rPr>
            </w:pPr>
            <w:r w:rsidRPr="003729FB">
              <w:rPr>
                <w:sz w:val="18"/>
              </w:rPr>
              <w:t>Kandidaten skal konkludere på baggrund af sin argumentation og overvejelser.</w:t>
            </w:r>
          </w:p>
        </w:tc>
        <w:tc>
          <w:tcPr>
            <w:tcW w:w="4246" w:type="dxa"/>
          </w:tcPr>
          <w:p w:rsidR="00376D1F" w:rsidRPr="00A90B4E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2.1-02-8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tabs>
                <w:tab w:val="left" w:pos="2580"/>
              </w:tabs>
              <w:rPr>
                <w:sz w:val="18"/>
              </w:rPr>
            </w:pPr>
            <w:r w:rsidRPr="003729FB">
              <w:rPr>
                <w:sz w:val="18"/>
              </w:rPr>
              <w:t>Kandidaten kan skal tage stilling til</w:t>
            </w:r>
            <w:r>
              <w:rPr>
                <w:sz w:val="18"/>
              </w:rPr>
              <w:t>,</w:t>
            </w:r>
            <w:r w:rsidRPr="003729FB">
              <w:rPr>
                <w:sz w:val="18"/>
              </w:rPr>
              <w:t xml:space="preserve"> om revisor skal fratræde eller ej.</w:t>
            </w:r>
          </w:p>
        </w:tc>
        <w:tc>
          <w:tcPr>
            <w:tcW w:w="4246" w:type="dxa"/>
          </w:tcPr>
          <w:p w:rsidR="00376D1F" w:rsidRPr="00A90B4E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</w:p>
        </w:tc>
        <w:tc>
          <w:tcPr>
            <w:tcW w:w="4379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Samlet vurdering af, om kandidatens præstation på baggrund af ovenstående er bestået eller ikke-bestået (karakteren 02)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Karaktererne 4-7 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En del af følgende punkter bør være behandlet tilfredsstillende, for at kandidaten kan opnå karaktere</w:t>
            </w:r>
            <w:r>
              <w:rPr>
                <w:b/>
                <w:sz w:val="18"/>
              </w:rPr>
              <w:t>r</w:t>
            </w:r>
            <w:r w:rsidRPr="00C2291B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C2291B">
              <w:rPr>
                <w:b/>
                <w:sz w:val="18"/>
              </w:rPr>
              <w:t xml:space="preserve"> 4-7.</w:t>
            </w:r>
          </w:p>
        </w:tc>
        <w:tc>
          <w:tcPr>
            <w:tcW w:w="4246" w:type="dxa"/>
          </w:tcPr>
          <w:p w:rsidR="00376D1F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</w:pPr>
            <w:r w:rsidRPr="00C2291B">
              <w:rPr>
                <w:b/>
                <w:sz w:val="18"/>
              </w:rPr>
              <w:t>Bemærkninger</w:t>
            </w:r>
            <w:r w:rsidRPr="00C2291B">
              <w:rPr>
                <w:b/>
                <w:sz w:val="18"/>
              </w:rPr>
              <w:br/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t xml:space="preserve">Den jævne præstation </w:t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 xml:space="preserve">Karakteren 4 gives for den jævne præstation, der demonstrerer en mindre grad af 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u w:val="single"/>
                <w:shd w:val="clear" w:color="auto" w:fill="FFFFFF"/>
              </w:rPr>
              <w:t>opfyldelse af fagets mål, med adskillige væsentlige mangler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>.</w:t>
            </w:r>
          </w:p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t>Den gode præstation</w:t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 xml:space="preserve">Karakteren 7 gives for den gode præstation, der demonstrerer 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u w:val="single"/>
                <w:shd w:val="clear" w:color="auto" w:fill="FFFFFF"/>
              </w:rPr>
              <w:t>opfyldelse af fagets mål, med en del mangler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>.</w:t>
            </w:r>
          </w:p>
        </w:tc>
      </w:tr>
      <w:tr w:rsidR="00376D1F" w:rsidRPr="00C2291B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>
              <w:rPr>
                <w:sz w:val="18"/>
              </w:rPr>
              <w:t>2</w:t>
            </w:r>
            <w:r w:rsidRPr="00C2291B">
              <w:rPr>
                <w:sz w:val="18"/>
              </w:rPr>
              <w:t>.1-47-1</w:t>
            </w:r>
          </w:p>
        </w:tc>
        <w:tc>
          <w:tcPr>
            <w:tcW w:w="4379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 w:rsidRPr="00E426F9">
              <w:rPr>
                <w:sz w:val="18"/>
              </w:rPr>
              <w:t xml:space="preserve">Notatet </w:t>
            </w:r>
            <w:r>
              <w:rPr>
                <w:sz w:val="18"/>
              </w:rPr>
              <w:t>er målrettet</w:t>
            </w:r>
            <w:r w:rsidRPr="00E426F9">
              <w:rPr>
                <w:sz w:val="18"/>
              </w:rPr>
              <w:t xml:space="preserve"> og indeholder ikke overflødige oplysninger</w:t>
            </w:r>
            <w:r>
              <w:rPr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94450D" w:rsidRDefault="00376D1F" w:rsidP="00B132CE">
            <w:pPr>
              <w:rPr>
                <w:b/>
                <w:sz w:val="18"/>
              </w:rPr>
            </w:pPr>
            <w:r w:rsidRPr="0094450D">
              <w:rPr>
                <w:sz w:val="18"/>
              </w:rPr>
              <w:t>2.1-47-</w:t>
            </w:r>
            <w:r>
              <w:rPr>
                <w:sz w:val="18"/>
              </w:rPr>
              <w:t>2</w:t>
            </w:r>
          </w:p>
        </w:tc>
        <w:tc>
          <w:tcPr>
            <w:tcW w:w="4379" w:type="dxa"/>
          </w:tcPr>
          <w:p w:rsidR="00376D1F" w:rsidRPr="00FC6F4E" w:rsidRDefault="00376D1F" w:rsidP="00B132CE">
            <w:pPr>
              <w:rPr>
                <w:b/>
                <w:sz w:val="18"/>
              </w:rPr>
            </w:pPr>
            <w:r w:rsidRPr="003729FB">
              <w:rPr>
                <w:sz w:val="18"/>
              </w:rPr>
              <w:t>Medtager god argumentation og uddybende overvejelser omkring fratrædelse</w:t>
            </w:r>
            <w:r>
              <w:rPr>
                <w:sz w:val="18"/>
              </w:rPr>
              <w:t xml:space="preserve"> eller ej</w:t>
            </w:r>
            <w:r w:rsidRPr="003729FB">
              <w:rPr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94450D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94450D" w:rsidRDefault="00376D1F" w:rsidP="00B132CE">
            <w:pPr>
              <w:rPr>
                <w:sz w:val="18"/>
              </w:rPr>
            </w:pPr>
            <w:r w:rsidRPr="0094450D">
              <w:rPr>
                <w:sz w:val="18"/>
              </w:rPr>
              <w:t>2.1-47-</w:t>
            </w:r>
            <w:r>
              <w:rPr>
                <w:sz w:val="18"/>
              </w:rPr>
              <w:t>3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Kandidatens modenhed kommer til udtryk ved at ville strække sig langt for at udføre den revisionsopgave, som er accepteret</w:t>
            </w:r>
            <w:r>
              <w:rPr>
                <w:sz w:val="18"/>
              </w:rPr>
              <w:t>,</w:t>
            </w:r>
            <w:r w:rsidRPr="003729FB">
              <w:rPr>
                <w:sz w:val="18"/>
              </w:rPr>
              <w:t xml:space="preserve"> </w:t>
            </w:r>
            <w:r>
              <w:rPr>
                <w:sz w:val="18"/>
              </w:rPr>
              <w:t>men</w:t>
            </w:r>
            <w:r w:rsidRPr="003729FB">
              <w:rPr>
                <w:sz w:val="18"/>
              </w:rPr>
              <w:t xml:space="preserve"> omvendt er bevidst om, at det kan være nødvendigt at fratræde.</w:t>
            </w:r>
          </w:p>
        </w:tc>
        <w:tc>
          <w:tcPr>
            <w:tcW w:w="4246" w:type="dxa"/>
          </w:tcPr>
          <w:p w:rsidR="00376D1F" w:rsidRPr="0094450D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94450D" w:rsidRDefault="00376D1F" w:rsidP="00B132CE">
            <w:pPr>
              <w:rPr>
                <w:sz w:val="18"/>
              </w:rPr>
            </w:pPr>
            <w:r w:rsidRPr="0094450D">
              <w:rPr>
                <w:sz w:val="18"/>
              </w:rPr>
              <w:t>2.1-47-</w:t>
            </w:r>
            <w:r>
              <w:rPr>
                <w:sz w:val="18"/>
              </w:rPr>
              <w:t>4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Medtager overvejelser omkring rapportering til ledelsen.</w:t>
            </w:r>
          </w:p>
        </w:tc>
        <w:tc>
          <w:tcPr>
            <w:tcW w:w="4246" w:type="dxa"/>
          </w:tcPr>
          <w:p w:rsidR="00376D1F" w:rsidRPr="0094450D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94450D" w:rsidRDefault="00376D1F" w:rsidP="00B132CE">
            <w:pPr>
              <w:rPr>
                <w:sz w:val="18"/>
              </w:rPr>
            </w:pPr>
            <w:r w:rsidRPr="0094450D">
              <w:rPr>
                <w:sz w:val="18"/>
              </w:rPr>
              <w:t>2.1-47-</w:t>
            </w:r>
            <w:r>
              <w:rPr>
                <w:sz w:val="18"/>
              </w:rPr>
              <w:t>5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 xml:space="preserve">Medtager overvejelser omkring </w:t>
            </w:r>
            <w:r w:rsidRPr="00DE5C74">
              <w:rPr>
                <w:sz w:val="18"/>
              </w:rPr>
              <w:t>hvidvask</w:t>
            </w:r>
            <w:r>
              <w:rPr>
                <w:sz w:val="18"/>
              </w:rPr>
              <w:t>underretning</w:t>
            </w:r>
            <w:r w:rsidRPr="00DE5C74">
              <w:rPr>
                <w:sz w:val="18"/>
              </w:rPr>
              <w:t xml:space="preserve"> ved mistanke</w:t>
            </w:r>
            <w:r>
              <w:rPr>
                <w:sz w:val="18"/>
              </w:rPr>
              <w:t xml:space="preserve">, der ikke kan afkræftes eller rapportering om økonomiske forbrydelser i henhold til Revisorloven § 22 (begrundet formodning). Det er vigtigt, at der er sammenhæng mellem kandidatens konklusioner, og hvem der rapporteres til. </w:t>
            </w:r>
            <w:r w:rsidRPr="003729F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Idet hvidvaskloven er mest restriktiv (ved mistanke og ingen bagatelgrænse) og forhold, der skal rapporteres i henhold til hvidvaskloven, pr. definition ikke skal rapporteres efter Revisorloven § 22, er det mest oplagt, at kandidaten argumenterer for rapportering i henhold til hvidvaskloven. </w:t>
            </w:r>
          </w:p>
        </w:tc>
        <w:tc>
          <w:tcPr>
            <w:tcW w:w="4246" w:type="dxa"/>
          </w:tcPr>
          <w:p w:rsidR="00376D1F" w:rsidRPr="0094450D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94450D" w:rsidRDefault="00376D1F" w:rsidP="00B132CE">
            <w:pPr>
              <w:rPr>
                <w:sz w:val="18"/>
              </w:rPr>
            </w:pPr>
            <w:r w:rsidRPr="0094450D">
              <w:rPr>
                <w:sz w:val="18"/>
              </w:rPr>
              <w:lastRenderedPageBreak/>
              <w:t>2.1-47-</w:t>
            </w:r>
            <w:r>
              <w:rPr>
                <w:sz w:val="18"/>
              </w:rPr>
              <w:t>6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 xml:space="preserve">Kandidaten er opmærksom på, at der ved </w:t>
            </w:r>
            <w:r w:rsidRPr="003729FB">
              <w:rPr>
                <w:sz w:val="18"/>
              </w:rPr>
              <w:t xml:space="preserve">fratræden i utide (før ordinær generalforsamling), </w:t>
            </w:r>
            <w:r>
              <w:rPr>
                <w:sz w:val="18"/>
              </w:rPr>
              <w:t xml:space="preserve">skal </w:t>
            </w:r>
            <w:r w:rsidRPr="003729FB">
              <w:rPr>
                <w:sz w:val="18"/>
              </w:rPr>
              <w:t>rapporter</w:t>
            </w:r>
            <w:r>
              <w:rPr>
                <w:sz w:val="18"/>
              </w:rPr>
              <w:t>es</w:t>
            </w:r>
            <w:r w:rsidRPr="003729FB">
              <w:rPr>
                <w:sz w:val="18"/>
              </w:rPr>
              <w:t xml:space="preserve"> til Erhvervsstyrelsen </w:t>
            </w:r>
            <w:r>
              <w:rPr>
                <w:sz w:val="18"/>
              </w:rPr>
              <w:t>om</w:t>
            </w:r>
            <w:r w:rsidRPr="003729FB">
              <w:rPr>
                <w:sz w:val="18"/>
              </w:rPr>
              <w:t xml:space="preserve"> årsagen ti</w:t>
            </w:r>
            <w:r>
              <w:rPr>
                <w:sz w:val="18"/>
              </w:rPr>
              <w:t xml:space="preserve">l revisors </w:t>
            </w:r>
            <w:r w:rsidRPr="003729FB">
              <w:rPr>
                <w:sz w:val="18"/>
              </w:rPr>
              <w:t>fratræden</w:t>
            </w:r>
            <w:r>
              <w:rPr>
                <w:sz w:val="18"/>
              </w:rPr>
              <w:t xml:space="preserve"> jf. Selskabsloven § 146, stk. 2</w:t>
            </w:r>
            <w:r w:rsidRPr="003729FB">
              <w:rPr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94450D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  <w:tc>
          <w:tcPr>
            <w:tcW w:w="4379" w:type="dxa"/>
          </w:tcPr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b/>
                <w:sz w:val="18"/>
              </w:rPr>
              <w:t>Samlet vurdering af</w:t>
            </w:r>
            <w:r>
              <w:rPr>
                <w:b/>
                <w:sz w:val="18"/>
              </w:rPr>
              <w:t>,</w:t>
            </w:r>
            <w:r w:rsidRPr="00C2291B">
              <w:rPr>
                <w:b/>
                <w:sz w:val="18"/>
              </w:rPr>
              <w:t xml:space="preserve"> om kandidatens præstation er</w:t>
            </w:r>
            <w:r>
              <w:rPr>
                <w:b/>
                <w:sz w:val="18"/>
              </w:rPr>
              <w:t xml:space="preserve"> jævn eller god</w:t>
            </w:r>
            <w:r w:rsidRPr="00C2291B">
              <w:rPr>
                <w:b/>
                <w:sz w:val="18"/>
              </w:rPr>
              <w:t xml:space="preserve"> (karaktere</w:t>
            </w:r>
            <w:r>
              <w:rPr>
                <w:b/>
                <w:sz w:val="18"/>
              </w:rPr>
              <w:t>r</w:t>
            </w:r>
            <w:r w:rsidRPr="00C2291B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C2291B">
              <w:rPr>
                <w:b/>
                <w:sz w:val="18"/>
              </w:rPr>
              <w:t xml:space="preserve"> 4-7)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Pr="00C2291B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Karaktere</w:t>
            </w:r>
            <w:r>
              <w:rPr>
                <w:b/>
                <w:sz w:val="18"/>
              </w:rPr>
              <w:t>r</w:t>
            </w:r>
            <w:r w:rsidRPr="00C2291B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C2291B">
              <w:rPr>
                <w:b/>
                <w:sz w:val="18"/>
              </w:rPr>
              <w:t xml:space="preserve"> 10-12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Et eller flere af</w:t>
            </w:r>
            <w:r w:rsidRPr="00C2291B">
              <w:rPr>
                <w:b/>
                <w:sz w:val="18"/>
              </w:rPr>
              <w:t xml:space="preserve"> følgende punkter bør være behandlet tilfredsstillende, for at kandidatens besvarelse er fortrinlig eller fremragende (det vil sige karaktere</w:t>
            </w:r>
            <w:r>
              <w:rPr>
                <w:b/>
                <w:sz w:val="18"/>
              </w:rPr>
              <w:t>r</w:t>
            </w:r>
            <w:r w:rsidRPr="00C2291B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C2291B">
              <w:rPr>
                <w:b/>
                <w:sz w:val="18"/>
              </w:rPr>
              <w:t xml:space="preserve"> 10-12).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rFonts w:cstheme="minorHAnsi"/>
                <w:color w:val="3B3838" w:themeColor="background2" w:themeShade="40"/>
                <w:sz w:val="16"/>
                <w:szCs w:val="20"/>
                <w:u w:val="single"/>
              </w:rPr>
            </w:pPr>
            <w:r w:rsidRPr="00C2291B">
              <w:rPr>
                <w:b/>
                <w:sz w:val="18"/>
              </w:rPr>
              <w:t>Bemærkninger</w:t>
            </w:r>
            <w:r w:rsidRPr="00C2291B">
              <w:rPr>
                <w:b/>
                <w:sz w:val="18"/>
              </w:rPr>
              <w:br/>
            </w:r>
            <w:r w:rsidRPr="00C2291B">
              <w:rPr>
                <w:rFonts w:cstheme="minorHAnsi"/>
                <w:b/>
                <w:color w:val="3B3838" w:themeColor="background2" w:themeShade="40"/>
                <w:sz w:val="16"/>
                <w:szCs w:val="20"/>
              </w:rPr>
              <w:t>Den fortrinlige præstation og den fremragende præstation</w:t>
            </w:r>
            <w:r w:rsidRPr="00C2291B">
              <w:rPr>
                <w:rFonts w:cstheme="minorHAnsi"/>
                <w:b/>
                <w:color w:val="3B3838" w:themeColor="background2" w:themeShade="4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</w:rPr>
              <w:t xml:space="preserve">Karakteren 10 gives for den fortrinlige præstation, der demonstrerer omfattende </w:t>
            </w: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  <w:u w:val="single"/>
              </w:rPr>
              <w:t>opfyldelse af fagets mål, med nogle mindre væsentlige mangler</w:t>
            </w:r>
          </w:p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</w:rPr>
              <w:t xml:space="preserve">Karakteren 12 gives for den fremragende præstation, der demonstrerer </w:t>
            </w: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  <w:u w:val="single"/>
              </w:rPr>
              <w:t>udtømmende opfyldelse af fagets mål, med ingen eller få uvæsentlige mangler</w:t>
            </w:r>
          </w:p>
        </w:tc>
      </w:tr>
      <w:tr w:rsidR="00376D1F" w:rsidRPr="00487CA0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2.1-102-1</w:t>
            </w:r>
          </w:p>
        </w:tc>
        <w:tc>
          <w:tcPr>
            <w:tcW w:w="4379" w:type="dxa"/>
            <w:shd w:val="clear" w:color="auto" w:fill="auto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Kandidaten m</w:t>
            </w:r>
            <w:r w:rsidRPr="003729FB">
              <w:rPr>
                <w:sz w:val="18"/>
              </w:rPr>
              <w:t>edtager yderligere overvejelser vedrørende rapportering efter hvidvaskloven</w:t>
            </w:r>
            <w:r>
              <w:rPr>
                <w:sz w:val="18"/>
              </w:rPr>
              <w:t>,</w:t>
            </w:r>
            <w:r w:rsidRPr="003729FB">
              <w:rPr>
                <w:sz w:val="18"/>
              </w:rPr>
              <w:t xml:space="preserve"> herunder </w:t>
            </w:r>
            <w:r>
              <w:rPr>
                <w:sz w:val="18"/>
              </w:rPr>
              <w:t xml:space="preserve">fx </w:t>
            </w:r>
            <w:r w:rsidRPr="003729FB">
              <w:rPr>
                <w:sz w:val="18"/>
              </w:rPr>
              <w:t>at der er tavshedspligt om indberetningen</w:t>
            </w:r>
            <w:r>
              <w:rPr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51B5B" w:rsidRDefault="00376D1F" w:rsidP="00B132CE">
            <w:pPr>
              <w:rPr>
                <w:sz w:val="18"/>
              </w:rPr>
            </w:pPr>
            <w:r w:rsidRPr="00C51B5B">
              <w:rPr>
                <w:sz w:val="18"/>
              </w:rPr>
              <w:t>2.1</w:t>
            </w:r>
            <w:r>
              <w:rPr>
                <w:sz w:val="18"/>
              </w:rPr>
              <w:t>-</w:t>
            </w:r>
            <w:r w:rsidRPr="00C51B5B">
              <w:rPr>
                <w:sz w:val="18"/>
              </w:rPr>
              <w:t>102</w:t>
            </w:r>
            <w:r>
              <w:rPr>
                <w:sz w:val="18"/>
              </w:rPr>
              <w:t>-</w:t>
            </w:r>
            <w:r w:rsidRPr="00C51B5B">
              <w:rPr>
                <w:sz w:val="18"/>
              </w:rPr>
              <w:t>2</w:t>
            </w:r>
          </w:p>
        </w:tc>
        <w:tc>
          <w:tcPr>
            <w:tcW w:w="4379" w:type="dxa"/>
            <w:shd w:val="clear" w:color="auto" w:fill="auto"/>
          </w:tcPr>
          <w:p w:rsidR="00376D1F" w:rsidRPr="00C51B5B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t>Kandidaten</w:t>
            </w:r>
            <w:r>
              <w:rPr>
                <w:sz w:val="18"/>
              </w:rPr>
              <w:t xml:space="preserve"> medtager</w:t>
            </w:r>
            <w:r w:rsidRPr="00DE5C74">
              <w:rPr>
                <w:sz w:val="18"/>
              </w:rPr>
              <w:t xml:space="preserve"> yderligere om rapportering i henhold til R</w:t>
            </w:r>
            <w:r>
              <w:rPr>
                <w:sz w:val="18"/>
              </w:rPr>
              <w:t>evisorloven §</w:t>
            </w:r>
            <w:r w:rsidRPr="00DE5C74">
              <w:rPr>
                <w:sz w:val="18"/>
              </w:rPr>
              <w:t xml:space="preserve"> 22</w:t>
            </w:r>
            <w:r>
              <w:rPr>
                <w:sz w:val="18"/>
              </w:rPr>
              <w:t xml:space="preserve">, herunder fx </w:t>
            </w:r>
            <w:r w:rsidRPr="00DE5C74">
              <w:rPr>
                <w:sz w:val="18"/>
              </w:rPr>
              <w:t>at rapportering i henhold til R</w:t>
            </w:r>
            <w:r>
              <w:rPr>
                <w:sz w:val="18"/>
              </w:rPr>
              <w:t>evisorloven §</w:t>
            </w:r>
            <w:r w:rsidRPr="00DE5C74">
              <w:rPr>
                <w:sz w:val="18"/>
              </w:rPr>
              <w:t xml:space="preserve"> 22 har karakter af en anmeldelse.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9D1DDF" w:rsidRDefault="00376D1F" w:rsidP="00B132CE">
            <w:pPr>
              <w:rPr>
                <w:sz w:val="18"/>
              </w:rPr>
            </w:pPr>
            <w:r w:rsidRPr="009D1DDF">
              <w:rPr>
                <w:sz w:val="18"/>
              </w:rPr>
              <w:t>2.1</w:t>
            </w:r>
            <w:r>
              <w:rPr>
                <w:sz w:val="18"/>
              </w:rPr>
              <w:t>-</w:t>
            </w:r>
            <w:r w:rsidRPr="009D1DDF">
              <w:rPr>
                <w:sz w:val="18"/>
              </w:rPr>
              <w:t>102</w:t>
            </w:r>
            <w:r>
              <w:rPr>
                <w:sz w:val="18"/>
              </w:rPr>
              <w:t>-</w:t>
            </w:r>
            <w:r w:rsidRPr="009D1DDF">
              <w:rPr>
                <w:sz w:val="18"/>
              </w:rPr>
              <w:t>3</w:t>
            </w:r>
          </w:p>
        </w:tc>
        <w:tc>
          <w:tcPr>
            <w:tcW w:w="4379" w:type="dxa"/>
            <w:shd w:val="clear" w:color="auto" w:fill="auto"/>
          </w:tcPr>
          <w:p w:rsidR="00376D1F" w:rsidRPr="00DE5C74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t>Kandidate</w:t>
            </w:r>
            <w:r w:rsidRPr="009D1DDF">
              <w:rPr>
                <w:sz w:val="18"/>
              </w:rPr>
              <w:t>n</w:t>
            </w:r>
            <w:r w:rsidRPr="00DE5C74">
              <w:rPr>
                <w:sz w:val="18"/>
              </w:rPr>
              <w:t xml:space="preserve"> medtager uddrag af rapportering til Erhvervsstyrelsen</w:t>
            </w:r>
            <w:r w:rsidRPr="009D1DDF">
              <w:rPr>
                <w:sz w:val="18"/>
              </w:rPr>
              <w:t xml:space="preserve"> i helhold til selskabs</w:t>
            </w:r>
            <w:r>
              <w:rPr>
                <w:sz w:val="18"/>
              </w:rPr>
              <w:t>loven</w:t>
            </w:r>
            <w:r w:rsidRPr="009D1DDF">
              <w:rPr>
                <w:sz w:val="18"/>
              </w:rPr>
              <w:t xml:space="preserve"> 146, stk. 2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9103B8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2.1-102-4</w:t>
            </w:r>
          </w:p>
        </w:tc>
        <w:tc>
          <w:tcPr>
            <w:tcW w:w="4379" w:type="dxa"/>
          </w:tcPr>
          <w:p w:rsidR="00376D1F" w:rsidRPr="009D1DD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 xml:space="preserve">Kandidaten omtaler, at det er problematisk, at kundekendskabsprocedurerne ikke er iagttaget tilstrækkeligt i forbindelse med kundeaccepten. 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9103B8" w:rsidTr="00B132CE">
        <w:tc>
          <w:tcPr>
            <w:tcW w:w="1003" w:type="dxa"/>
          </w:tcPr>
          <w:p w:rsidR="00376D1F" w:rsidRPr="009D1DD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9D1DDF">
              <w:rPr>
                <w:sz w:val="18"/>
              </w:rPr>
              <w:t>.1-102-</w:t>
            </w:r>
            <w:r>
              <w:rPr>
                <w:sz w:val="18"/>
              </w:rPr>
              <w:t>5</w:t>
            </w:r>
          </w:p>
        </w:tc>
        <w:tc>
          <w:tcPr>
            <w:tcW w:w="4379" w:type="dxa"/>
          </w:tcPr>
          <w:p w:rsidR="00376D1F" w:rsidRPr="00DE5C74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t>Mindre væsentlige faglige fejl og mindre fejl vedrørende formulering og disponering. (10)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9103B8" w:rsidTr="00B132CE">
        <w:tc>
          <w:tcPr>
            <w:tcW w:w="1003" w:type="dxa"/>
          </w:tcPr>
          <w:p w:rsidR="00376D1F" w:rsidRPr="009D1DD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9D1DDF">
              <w:rPr>
                <w:sz w:val="18"/>
              </w:rPr>
              <w:t>.1-102-</w:t>
            </w:r>
            <w:r>
              <w:rPr>
                <w:sz w:val="18"/>
              </w:rPr>
              <w:t>6</w:t>
            </w:r>
          </w:p>
        </w:tc>
        <w:tc>
          <w:tcPr>
            <w:tcW w:w="4379" w:type="dxa"/>
          </w:tcPr>
          <w:p w:rsidR="00376D1F" w:rsidRPr="00DE5C74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t>Kun helt uvæsentlige fejl og mangler i notatet. (12)</w:t>
            </w:r>
          </w:p>
        </w:tc>
        <w:tc>
          <w:tcPr>
            <w:tcW w:w="4246" w:type="dxa"/>
          </w:tcPr>
          <w:p w:rsidR="00376D1F" w:rsidRPr="009103B8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  <w:tc>
          <w:tcPr>
            <w:tcW w:w="4379" w:type="dxa"/>
          </w:tcPr>
          <w:p w:rsidR="00376D1F" w:rsidRPr="009103B8" w:rsidRDefault="00376D1F" w:rsidP="00B132CE">
            <w:pPr>
              <w:rPr>
                <w:sz w:val="18"/>
              </w:rPr>
            </w:pPr>
            <w:r w:rsidRPr="009103B8">
              <w:rPr>
                <w:b/>
                <w:sz w:val="18"/>
              </w:rPr>
              <w:t>Samlet vurdering af</w:t>
            </w:r>
            <w:r>
              <w:rPr>
                <w:b/>
                <w:sz w:val="18"/>
              </w:rPr>
              <w:t>,</w:t>
            </w:r>
            <w:r w:rsidRPr="009103B8">
              <w:rPr>
                <w:b/>
                <w:sz w:val="18"/>
              </w:rPr>
              <w:t xml:space="preserve"> om kandidatens præstation er fortrinlig eller fremragende (karaktere</w:t>
            </w:r>
            <w:r>
              <w:rPr>
                <w:b/>
                <w:sz w:val="18"/>
              </w:rPr>
              <w:t>r</w:t>
            </w:r>
            <w:r w:rsidRPr="009103B8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9103B8">
              <w:rPr>
                <w:b/>
                <w:sz w:val="18"/>
              </w:rPr>
              <w:t xml:space="preserve"> 10-12)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Pr="009103B8" w:rsidRDefault="00376D1F" w:rsidP="00B132CE">
            <w:pPr>
              <w:rPr>
                <w:b/>
                <w:sz w:val="18"/>
              </w:rPr>
            </w:pPr>
            <w:r w:rsidRPr="009103B8">
              <w:rPr>
                <w:b/>
                <w:sz w:val="18"/>
              </w:rPr>
              <w:t>Karakter for spørgsmål 2.1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9628" w:type="dxa"/>
            <w:gridSpan w:val="3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Begrundelse </w:t>
            </w:r>
          </w:p>
        </w:tc>
      </w:tr>
    </w:tbl>
    <w:p w:rsidR="00376D1F" w:rsidRDefault="00376D1F" w:rsidP="00376D1F">
      <w:pPr>
        <w:rPr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"/>
        <w:gridCol w:w="4379"/>
        <w:gridCol w:w="4246"/>
      </w:tblGrid>
      <w:tr w:rsidR="00376D1F" w:rsidRPr="00487CA0" w:rsidTr="00B132CE">
        <w:tc>
          <w:tcPr>
            <w:tcW w:w="9628" w:type="dxa"/>
            <w:gridSpan w:val="3"/>
          </w:tcPr>
          <w:p w:rsidR="00376D1F" w:rsidRPr="009103B8" w:rsidRDefault="00376D1F" w:rsidP="00B132CE">
            <w:pPr>
              <w:rPr>
                <w:b/>
              </w:rPr>
            </w:pPr>
            <w:r w:rsidRPr="009103B8">
              <w:rPr>
                <w:b/>
              </w:rPr>
              <w:t>Spørgsmål 3.1 (30 %)</w:t>
            </w:r>
          </w:p>
          <w:p w:rsidR="00376D1F" w:rsidRPr="00A36FC7" w:rsidRDefault="00376D1F" w:rsidP="00B132CE">
            <w:pPr>
              <w:rPr>
                <w:b/>
                <w:sz w:val="18"/>
              </w:rPr>
            </w:pPr>
            <w:r w:rsidRPr="00DE5C74">
              <w:rPr>
                <w:b/>
                <w:sz w:val="18"/>
              </w:rPr>
              <w:t>Til revisionsfirmaets ledelse bedes du redegøre for, hvilke udfordringer du ser ved, at Romeo har et romantisk forhold til koncernens CFO Julie, samt hvordan dette skal håndteres i forhold til den igangværende revisionsopgave.</w:t>
            </w:r>
          </w:p>
        </w:tc>
      </w:tr>
      <w:tr w:rsidR="00376D1F" w:rsidRPr="00DF14AB" w:rsidTr="00B132CE">
        <w:tc>
          <w:tcPr>
            <w:tcW w:w="9628" w:type="dxa"/>
            <w:gridSpan w:val="3"/>
          </w:tcPr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b/>
                <w:sz w:val="18"/>
              </w:rPr>
              <w:t>Centrale regler og fortolkninger</w:t>
            </w:r>
          </w:p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Revisorlovens § 24</w:t>
            </w:r>
          </w:p>
          <w:p w:rsidR="00376D1F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>Uafhængighedsbekendtgørelse</w:t>
            </w:r>
            <w:r>
              <w:rPr>
                <w:sz w:val="18"/>
              </w:rPr>
              <w:t>n:</w:t>
            </w:r>
            <w:r w:rsidRPr="003729FB">
              <w:rPr>
                <w:sz w:val="18"/>
              </w:rPr>
              <w:t xml:space="preserve"> 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4"/>
              </w:numPr>
              <w:rPr>
                <w:sz w:val="18"/>
              </w:rPr>
            </w:pPr>
            <w:r w:rsidRPr="00DE5C74">
              <w:rPr>
                <w:sz w:val="18"/>
              </w:rPr>
              <w:t>§ 2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stk. 1 nr. 6 (a, b og c) samt stk. 3 nr. 1 og 2. (tæt familie) eller 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4"/>
              </w:numPr>
              <w:rPr>
                <w:sz w:val="18"/>
              </w:rPr>
            </w:pPr>
            <w:r w:rsidRPr="00DE5C74">
              <w:rPr>
                <w:sz w:val="18"/>
              </w:rPr>
              <w:t>§ 6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stk. 1 nr. 2 (a, b og c) (andre familiemæssige bånd).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4"/>
              </w:numPr>
              <w:rPr>
                <w:sz w:val="18"/>
              </w:rPr>
            </w:pPr>
            <w:r w:rsidRPr="00DE5C74">
              <w:rPr>
                <w:sz w:val="18"/>
              </w:rPr>
              <w:t>§ 3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stk. 3.</w:t>
            </w:r>
          </w:p>
          <w:p w:rsidR="00376D1F" w:rsidRPr="00F02E88" w:rsidRDefault="00376D1F" w:rsidP="00B132CE">
            <w:pPr>
              <w:rPr>
                <w:i/>
                <w:sz w:val="18"/>
              </w:rPr>
            </w:pPr>
            <w:r w:rsidRPr="003729FB">
              <w:rPr>
                <w:sz w:val="18"/>
              </w:rPr>
              <w:t xml:space="preserve">Etiske regler </w:t>
            </w:r>
            <w:r>
              <w:rPr>
                <w:sz w:val="18"/>
              </w:rPr>
              <w:t>afsnit</w:t>
            </w:r>
            <w:r w:rsidRPr="003729FB">
              <w:rPr>
                <w:sz w:val="18"/>
              </w:rPr>
              <w:t xml:space="preserve"> 521</w:t>
            </w:r>
            <w:r>
              <w:rPr>
                <w:sz w:val="18"/>
              </w:rPr>
              <w:t xml:space="preserve"> (</w:t>
            </w:r>
            <w:r w:rsidRPr="003729FB">
              <w:rPr>
                <w:sz w:val="18"/>
              </w:rPr>
              <w:t>gældende fra 15. juni 2019</w:t>
            </w:r>
            <w:r>
              <w:rPr>
                <w:sz w:val="18"/>
              </w:rPr>
              <w:t>)</w:t>
            </w:r>
            <w:r w:rsidRPr="003729F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 w:rsidRPr="003729FB">
              <w:rPr>
                <w:sz w:val="18"/>
              </w:rPr>
              <w:t xml:space="preserve">eller de gamle etiske regler </w:t>
            </w:r>
            <w:r>
              <w:rPr>
                <w:sz w:val="18"/>
              </w:rPr>
              <w:t xml:space="preserve">afsnit </w:t>
            </w:r>
            <w:r w:rsidRPr="003729FB">
              <w:rPr>
                <w:sz w:val="18"/>
              </w:rPr>
              <w:t>290.126 til 290.131.</w:t>
            </w: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Pr="00DF14AB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Karakteren 02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De fleste af følgende </w:t>
            </w:r>
            <w:r>
              <w:rPr>
                <w:b/>
                <w:sz w:val="18"/>
              </w:rPr>
              <w:t>forhold</w:t>
            </w:r>
            <w:r w:rsidRPr="00C2291B">
              <w:rPr>
                <w:b/>
                <w:sz w:val="18"/>
              </w:rPr>
              <w:t xml:space="preserve"> bør sædvanligvis være </w:t>
            </w:r>
            <w:r>
              <w:rPr>
                <w:b/>
                <w:sz w:val="18"/>
              </w:rPr>
              <w:t>indarbejdet i besvarelsen</w:t>
            </w:r>
            <w:r w:rsidRPr="00C2291B">
              <w:rPr>
                <w:b/>
                <w:sz w:val="18"/>
              </w:rPr>
              <w:t>, for at opnå karakteren 02.</w:t>
            </w:r>
            <w:r>
              <w:rPr>
                <w:b/>
                <w:sz w:val="18"/>
              </w:rPr>
              <w:t xml:space="preserve"> Den detaljeringsgrad/omfanget, som er minimalt acceptabelt, kan variere fra forhold til forhold.  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Særlige forhold kan tale for en anden vurdering. Herunder </w:t>
            </w:r>
            <w:r>
              <w:rPr>
                <w:b/>
                <w:sz w:val="18"/>
              </w:rPr>
              <w:t xml:space="preserve">kan </w:t>
            </w:r>
            <w:r w:rsidRPr="00C2291B">
              <w:rPr>
                <w:b/>
                <w:sz w:val="18"/>
              </w:rPr>
              <w:t>behandlingen af problemstillinger</w:t>
            </w:r>
            <w:r>
              <w:rPr>
                <w:b/>
                <w:sz w:val="18"/>
              </w:rPr>
              <w:t>,</w:t>
            </w:r>
            <w:r w:rsidRPr="00C2291B">
              <w:rPr>
                <w:b/>
                <w:sz w:val="18"/>
              </w:rPr>
              <w:t xml:space="preserve"> omtalt under karaktererne 4-12</w:t>
            </w:r>
            <w:r>
              <w:rPr>
                <w:b/>
                <w:sz w:val="18"/>
              </w:rPr>
              <w:t xml:space="preserve">, påvirke bedømmelsen positivt, jf. indledningen. 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</w:p>
        </w:tc>
        <w:tc>
          <w:tcPr>
            <w:tcW w:w="4246" w:type="dxa"/>
          </w:tcPr>
          <w:p w:rsidR="00376D1F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Bemærkninger</w:t>
            </w:r>
            <w:r w:rsidRPr="00C2291B">
              <w:rPr>
                <w:b/>
                <w:sz w:val="18"/>
              </w:rPr>
              <w:br/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t>Den tilstrækkelige præstation</w:t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0"/>
                <w:shd w:val="clear" w:color="auto" w:fill="FFFFFF"/>
              </w:rPr>
              <w:t xml:space="preserve">Karakteren 02 gives for den tilstrækkelige præstation, der demonstrerer den 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0"/>
                <w:u w:val="single"/>
                <w:shd w:val="clear" w:color="auto" w:fill="FFFFFF"/>
              </w:rPr>
              <w:t>minimalt acceptable grad af opfyldelse af fagets mål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0"/>
                <w:shd w:val="clear" w:color="auto" w:fill="FFFFFF"/>
              </w:rPr>
              <w:t>.</w:t>
            </w:r>
          </w:p>
        </w:tc>
      </w:tr>
      <w:tr w:rsidR="00376D1F" w:rsidRPr="00487CA0" w:rsidTr="00B132CE">
        <w:tc>
          <w:tcPr>
            <w:tcW w:w="1003" w:type="dxa"/>
          </w:tcPr>
          <w:p w:rsidR="00376D1F" w:rsidRPr="00C804F8" w:rsidDel="007A46B9" w:rsidRDefault="00376D1F" w:rsidP="00B132CE">
            <w:pPr>
              <w:rPr>
                <w:sz w:val="18"/>
              </w:rPr>
            </w:pPr>
            <w:r w:rsidRPr="00C804F8">
              <w:rPr>
                <w:sz w:val="18"/>
              </w:rPr>
              <w:t>3.1-02-1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Notatet er f</w:t>
            </w:r>
            <w:r w:rsidRPr="003729FB">
              <w:rPr>
                <w:sz w:val="18"/>
              </w:rPr>
              <w:t xml:space="preserve">ormuleret kortfattet og begrundet i et passende sprog til </w:t>
            </w:r>
            <w:r>
              <w:rPr>
                <w:sz w:val="18"/>
              </w:rPr>
              <w:t>ledelsen</w:t>
            </w:r>
            <w:r w:rsidRPr="003729FB">
              <w:rPr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804F8" w:rsidRDefault="00376D1F" w:rsidP="00B132CE">
            <w:pPr>
              <w:rPr>
                <w:sz w:val="18"/>
              </w:rPr>
            </w:pPr>
            <w:r w:rsidRPr="00C804F8">
              <w:rPr>
                <w:sz w:val="18"/>
              </w:rPr>
              <w:t>3.1-02-</w:t>
            </w:r>
            <w:r>
              <w:rPr>
                <w:sz w:val="18"/>
              </w:rPr>
              <w:t>2</w:t>
            </w:r>
          </w:p>
        </w:tc>
        <w:tc>
          <w:tcPr>
            <w:tcW w:w="4379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Notatet er fornuftigt disponeret kan indeholde følgende:</w:t>
            </w:r>
          </w:p>
          <w:p w:rsidR="00376D1F" w:rsidRPr="00AB20B5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 w:rsidRPr="00AB20B5">
              <w:rPr>
                <w:sz w:val="18"/>
              </w:rPr>
              <w:t xml:space="preserve">Beskrivelse af problemstillingen </w:t>
            </w:r>
          </w:p>
          <w:p w:rsidR="00376D1F" w:rsidRPr="00AB20B5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Omtale af reglerne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Konsekvenser for revisionen</w:t>
            </w:r>
            <w:r w:rsidRPr="00DE5C74">
              <w:rPr>
                <w:sz w:val="18"/>
              </w:rPr>
              <w:t xml:space="preserve"> </w:t>
            </w:r>
          </w:p>
          <w:p w:rsidR="00376D1F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Anbefaling </w:t>
            </w:r>
          </w:p>
          <w:p w:rsidR="00376D1F" w:rsidRPr="00DE5C74" w:rsidRDefault="00376D1F" w:rsidP="00376D1F">
            <w:pPr>
              <w:pStyle w:val="Listeafsnit"/>
              <w:numPr>
                <w:ilvl w:val="0"/>
                <w:numId w:val="5"/>
              </w:numPr>
              <w:rPr>
                <w:sz w:val="18"/>
              </w:rPr>
            </w:pPr>
            <w:r w:rsidRPr="00DE5C74">
              <w:rPr>
                <w:sz w:val="18"/>
              </w:rPr>
              <w:t>Handlinger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som skal udføres som følge af anbefalingen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804F8" w:rsidRDefault="00376D1F" w:rsidP="00B132CE">
            <w:pPr>
              <w:rPr>
                <w:sz w:val="18"/>
              </w:rPr>
            </w:pPr>
            <w:r w:rsidRPr="00C804F8">
              <w:rPr>
                <w:sz w:val="18"/>
              </w:rPr>
              <w:t>3.1-02-</w:t>
            </w:r>
            <w:r>
              <w:rPr>
                <w:sz w:val="18"/>
              </w:rPr>
              <w:t>3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Kandidaten har f</w:t>
            </w:r>
            <w:r w:rsidRPr="003729FB">
              <w:rPr>
                <w:sz w:val="18"/>
              </w:rPr>
              <w:t>okus på problemstillingen</w:t>
            </w:r>
            <w:r>
              <w:rPr>
                <w:sz w:val="18"/>
              </w:rPr>
              <w:t xml:space="preserve">: Den medunderskrivende partners </w:t>
            </w:r>
            <w:r w:rsidRPr="003729FB">
              <w:rPr>
                <w:sz w:val="18"/>
              </w:rPr>
              <w:t>uafhængighed</w:t>
            </w:r>
            <w:r>
              <w:rPr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C2291B">
              <w:rPr>
                <w:sz w:val="18"/>
              </w:rPr>
              <w:t>.1-02-</w:t>
            </w:r>
            <w:r>
              <w:rPr>
                <w:sz w:val="18"/>
              </w:rPr>
              <w:t>4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 xml:space="preserve">Kandidaten bør </w:t>
            </w:r>
            <w:r w:rsidR="00D854B2">
              <w:rPr>
                <w:sz w:val="18"/>
              </w:rPr>
              <w:t>være opmærksom på(</w:t>
            </w:r>
            <w:proofErr w:type="spellStart"/>
            <w:proofErr w:type="gramStart"/>
            <w:r w:rsidR="00D854B2">
              <w:rPr>
                <w:sz w:val="18"/>
              </w:rPr>
              <w:t>evt.indirekte</w:t>
            </w:r>
            <w:proofErr w:type="spellEnd"/>
            <w:proofErr w:type="gramEnd"/>
            <w:r w:rsidR="00D854B2">
              <w:rPr>
                <w:sz w:val="18"/>
              </w:rPr>
              <w:t>)</w:t>
            </w:r>
            <w:r w:rsidRPr="003729FB">
              <w:rPr>
                <w:sz w:val="18"/>
              </w:rPr>
              <w:t>, at CFO’en har betydelig indflydelse på årsregnskabet og desuden</w:t>
            </w:r>
            <w:r>
              <w:rPr>
                <w:sz w:val="18"/>
              </w:rPr>
              <w:t xml:space="preserve"> har</w:t>
            </w:r>
            <w:r w:rsidRPr="003729FB">
              <w:rPr>
                <w:sz w:val="18"/>
              </w:rPr>
              <w:t xml:space="preserve"> en ledende stilling i virksomheden.</w:t>
            </w:r>
          </w:p>
          <w:p w:rsidR="00376D1F" w:rsidRPr="003729FB" w:rsidRDefault="00376D1F" w:rsidP="00AB4268">
            <w:pPr>
              <w:rPr>
                <w:sz w:val="18"/>
              </w:rPr>
            </w:pPr>
            <w:r w:rsidRPr="003729FB">
              <w:rPr>
                <w:sz w:val="18"/>
              </w:rPr>
              <w:t xml:space="preserve">Kandidaten </w:t>
            </w:r>
            <w:r w:rsidR="006032CB">
              <w:rPr>
                <w:sz w:val="18"/>
              </w:rPr>
              <w:t>kan fx</w:t>
            </w:r>
            <w:r w:rsidR="00D854B2">
              <w:rPr>
                <w:sz w:val="18"/>
              </w:rPr>
              <w:t xml:space="preserve"> </w:t>
            </w:r>
            <w:r w:rsidRPr="003729FB">
              <w:rPr>
                <w:sz w:val="18"/>
              </w:rPr>
              <w:t xml:space="preserve">argumentere for, at det er i strid med </w:t>
            </w:r>
            <w:r>
              <w:rPr>
                <w:sz w:val="18"/>
              </w:rPr>
              <w:t xml:space="preserve">revisorloven, </w:t>
            </w:r>
            <w:r w:rsidRPr="003729FB">
              <w:rPr>
                <w:sz w:val="18"/>
              </w:rPr>
              <w:t>uafhængighedsreglerne og de etiske regler</w:t>
            </w:r>
            <w:r w:rsidR="00AB4268">
              <w:rPr>
                <w:sz w:val="18"/>
              </w:rPr>
              <w:t>.</w:t>
            </w:r>
            <w:r w:rsidRPr="003729FB">
              <w:rPr>
                <w:sz w:val="18"/>
              </w:rPr>
              <w:t xml:space="preserve"> 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 xml:space="preserve">Konklusionen er derfor den samme. </w:t>
            </w:r>
            <w:r>
              <w:rPr>
                <w:sz w:val="18"/>
              </w:rPr>
              <w:t xml:space="preserve">Romeo kan ikke forsætte på opgaven. </w:t>
            </w:r>
          </w:p>
          <w:p w:rsidR="00376D1F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t xml:space="preserve">Kandidaten kan ligeledes argumentere med de etiske regler </w:t>
            </w:r>
            <w:r>
              <w:rPr>
                <w:sz w:val="18"/>
              </w:rPr>
              <w:t xml:space="preserve">jf. indledningen. </w:t>
            </w:r>
          </w:p>
          <w:p w:rsidR="00376D1F" w:rsidRPr="003729FB" w:rsidRDefault="00376D1F" w:rsidP="00B132CE">
            <w:pPr>
              <w:rPr>
                <w:sz w:val="18"/>
              </w:rPr>
            </w:pPr>
            <w:r w:rsidRPr="003729FB">
              <w:rPr>
                <w:sz w:val="18"/>
              </w:rPr>
              <w:lastRenderedPageBreak/>
              <w:t>Det er afgørende, at kandidaten argumenterer for sine overvejelser.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C2291B">
              <w:rPr>
                <w:sz w:val="18"/>
              </w:rPr>
              <w:t>.1-02-</w:t>
            </w:r>
            <w:r>
              <w:rPr>
                <w:sz w:val="18"/>
              </w:rPr>
              <w:t>5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 xml:space="preserve">Kandidaten bør være opmærksom på tidsperspektivet. Regnskabet skal aflægges ultimo samme måned.  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C2291B">
              <w:rPr>
                <w:sz w:val="18"/>
              </w:rPr>
              <w:t>.1-02-</w:t>
            </w:r>
            <w:r>
              <w:rPr>
                <w:sz w:val="18"/>
              </w:rPr>
              <w:t>6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  <w:highlight w:val="yellow"/>
              </w:rPr>
            </w:pPr>
            <w:r w:rsidRPr="003729FB">
              <w:rPr>
                <w:sz w:val="18"/>
              </w:rPr>
              <w:t xml:space="preserve">Kandidaten </w:t>
            </w:r>
            <w:r w:rsidR="00D854B2">
              <w:rPr>
                <w:sz w:val="18"/>
              </w:rPr>
              <w:t>skal</w:t>
            </w:r>
            <w:r w:rsidR="00D854B2" w:rsidRPr="003729FB">
              <w:rPr>
                <w:sz w:val="18"/>
              </w:rPr>
              <w:t xml:space="preserve"> </w:t>
            </w:r>
            <w:r w:rsidRPr="003729FB">
              <w:rPr>
                <w:sz w:val="18"/>
              </w:rPr>
              <w:t xml:space="preserve">konkludere, at </w:t>
            </w:r>
            <w:r>
              <w:rPr>
                <w:sz w:val="18"/>
              </w:rPr>
              <w:t>Romeo</w:t>
            </w:r>
            <w:r w:rsidRPr="003729FB">
              <w:rPr>
                <w:sz w:val="18"/>
              </w:rPr>
              <w:t xml:space="preserve"> skal tages af revisionsteamet og hans arbejde skal gennemgås.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3.1-02-7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Kandidaten bør k</w:t>
            </w:r>
            <w:r w:rsidRPr="003729FB">
              <w:rPr>
                <w:sz w:val="18"/>
              </w:rPr>
              <w:t>onkludere, at der skal findes en ny SR som medunderskriver for at overholde revisionsfirmaets interne regler.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</w:p>
        </w:tc>
        <w:tc>
          <w:tcPr>
            <w:tcW w:w="4379" w:type="dxa"/>
          </w:tcPr>
          <w:p w:rsidR="00376D1F" w:rsidRPr="009B3139" w:rsidRDefault="00376D1F" w:rsidP="00B132CE">
            <w:pPr>
              <w:rPr>
                <w:b/>
                <w:sz w:val="18"/>
              </w:rPr>
            </w:pPr>
            <w:r w:rsidRPr="00FC6F4E">
              <w:rPr>
                <w:b/>
                <w:sz w:val="18"/>
              </w:rPr>
              <w:t>Samlet vurdering af, om kandidatens præstation på baggrund af ovenstående er bestået eller ikke-bestået (karakteren 02)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Karaktererne 4-7 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En del af følgende punkter bør være behandlet tilfredsstillende, for at kandidaten kan opnå karaktere</w:t>
            </w:r>
            <w:r>
              <w:rPr>
                <w:b/>
                <w:sz w:val="18"/>
              </w:rPr>
              <w:t>r</w:t>
            </w:r>
            <w:r w:rsidRPr="00C2291B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C2291B">
              <w:rPr>
                <w:b/>
                <w:sz w:val="18"/>
              </w:rPr>
              <w:t xml:space="preserve"> 4-7.</w:t>
            </w:r>
          </w:p>
          <w:p w:rsidR="00376D1F" w:rsidRPr="00C2291B" w:rsidRDefault="00376D1F" w:rsidP="00B132CE">
            <w:pPr>
              <w:rPr>
                <w:b/>
                <w:sz w:val="18"/>
              </w:rPr>
            </w:pPr>
          </w:p>
        </w:tc>
        <w:tc>
          <w:tcPr>
            <w:tcW w:w="4246" w:type="dxa"/>
          </w:tcPr>
          <w:p w:rsidR="00376D1F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</w:pPr>
            <w:r w:rsidRPr="00C2291B">
              <w:rPr>
                <w:b/>
                <w:sz w:val="18"/>
              </w:rPr>
              <w:t>Bemærkninger</w:t>
            </w:r>
            <w:r w:rsidRPr="00C2291B">
              <w:rPr>
                <w:b/>
                <w:sz w:val="18"/>
              </w:rPr>
              <w:br/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t xml:space="preserve">Den jævne præstation </w:t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 xml:space="preserve">Karakteren 4 gives for den jævne præstation, der demonstrerer en mindre grad af 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u w:val="single"/>
                <w:shd w:val="clear" w:color="auto" w:fill="FFFFFF"/>
              </w:rPr>
              <w:t>opfyldelse af fagets mål, med adskillige væsentlige mangler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>.</w:t>
            </w:r>
          </w:p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t>Den gode præstation</w:t>
            </w:r>
            <w:r w:rsidRPr="00C2291B">
              <w:rPr>
                <w:rFonts w:cstheme="minorHAnsi"/>
                <w:b/>
                <w:color w:val="808080" w:themeColor="background1" w:themeShade="8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 xml:space="preserve">Karakteren 7 gives for den gode præstation, der demonstrerer 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u w:val="single"/>
                <w:shd w:val="clear" w:color="auto" w:fill="FFFFFF"/>
              </w:rPr>
              <w:t>opfyldelse af fagets mål, med en del mangler</w:t>
            </w:r>
            <w:r w:rsidRPr="00C2291B">
              <w:rPr>
                <w:rFonts w:cstheme="minorHAnsi"/>
                <w:color w:val="808080" w:themeColor="background1" w:themeShade="80"/>
                <w:sz w:val="16"/>
                <w:szCs w:val="26"/>
                <w:shd w:val="clear" w:color="auto" w:fill="FFFFFF"/>
              </w:rPr>
              <w:t>.</w:t>
            </w:r>
          </w:p>
        </w:tc>
      </w:tr>
      <w:tr w:rsidR="00376D1F" w:rsidRPr="00C2291B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>
              <w:rPr>
                <w:sz w:val="18"/>
              </w:rPr>
              <w:t>3</w:t>
            </w:r>
            <w:r w:rsidRPr="00C2291B">
              <w:rPr>
                <w:sz w:val="18"/>
              </w:rPr>
              <w:t>.1-47-1</w:t>
            </w:r>
          </w:p>
        </w:tc>
        <w:tc>
          <w:tcPr>
            <w:tcW w:w="4379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>
              <w:rPr>
                <w:sz w:val="18"/>
              </w:rPr>
              <w:t>Redegørelsen er målrettet</w:t>
            </w:r>
            <w:r w:rsidRPr="00E426F9">
              <w:rPr>
                <w:sz w:val="18"/>
              </w:rPr>
              <w:t xml:space="preserve"> og indeholder ikke overflødige oplysninger</w:t>
            </w:r>
            <w:r>
              <w:rPr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>
              <w:rPr>
                <w:sz w:val="18"/>
              </w:rPr>
              <w:t>3</w:t>
            </w:r>
            <w:r w:rsidRPr="00C2291B">
              <w:rPr>
                <w:sz w:val="18"/>
              </w:rPr>
              <w:t>.1-47-</w:t>
            </w:r>
            <w:r>
              <w:rPr>
                <w:sz w:val="18"/>
              </w:rPr>
              <w:t>2</w:t>
            </w:r>
          </w:p>
        </w:tc>
        <w:tc>
          <w:tcPr>
            <w:tcW w:w="4379" w:type="dxa"/>
          </w:tcPr>
          <w:p w:rsidR="00376D1F" w:rsidRPr="003729F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Romeo</w:t>
            </w:r>
            <w:r w:rsidRPr="003729F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og Julie </w:t>
            </w:r>
            <w:r w:rsidRPr="003729FB">
              <w:rPr>
                <w:sz w:val="18"/>
              </w:rPr>
              <w:t xml:space="preserve">har </w:t>
            </w:r>
            <w:r>
              <w:rPr>
                <w:sz w:val="18"/>
              </w:rPr>
              <w:t>ifølge opgaveteksten</w:t>
            </w:r>
            <w:r w:rsidRPr="003729F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alene </w:t>
            </w:r>
            <w:r w:rsidRPr="003729FB">
              <w:rPr>
                <w:sz w:val="18"/>
              </w:rPr>
              <w:t>haft et forhold siden oktober 2018, hvilket er efter afslutning og påtegning af s</w:t>
            </w:r>
            <w:r>
              <w:rPr>
                <w:sz w:val="18"/>
              </w:rPr>
              <w:t>eneste</w:t>
            </w:r>
            <w:r w:rsidRPr="003729FB">
              <w:rPr>
                <w:sz w:val="18"/>
              </w:rPr>
              <w:t xml:space="preserve"> årsregnskab</w:t>
            </w:r>
            <w:r>
              <w:rPr>
                <w:sz w:val="18"/>
              </w:rPr>
              <w:t xml:space="preserve"> </w:t>
            </w:r>
            <w:r w:rsidRPr="003729FB">
              <w:rPr>
                <w:sz w:val="18"/>
              </w:rPr>
              <w:t>i august 2018. Dermed er der ingen udfordringer ift. tidligere år.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C2291B">
              <w:rPr>
                <w:sz w:val="18"/>
              </w:rPr>
              <w:t>.1-47-</w:t>
            </w:r>
            <w:r>
              <w:rPr>
                <w:sz w:val="18"/>
              </w:rPr>
              <w:t>3</w:t>
            </w:r>
          </w:p>
        </w:tc>
        <w:tc>
          <w:tcPr>
            <w:tcW w:w="4379" w:type="dxa"/>
          </w:tcPr>
          <w:p w:rsidR="00376D1F" w:rsidRPr="00DE5C74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Kandidaten er opmærksom på, at det</w:t>
            </w:r>
            <w:r w:rsidRPr="00DE5C74">
              <w:rPr>
                <w:sz w:val="18"/>
              </w:rPr>
              <w:t xml:space="preserve"> alene</w:t>
            </w:r>
            <w:r>
              <w:rPr>
                <w:sz w:val="18"/>
              </w:rPr>
              <w:t xml:space="preserve"> er</w:t>
            </w:r>
            <w:r w:rsidRPr="00DE5C74">
              <w:rPr>
                <w:sz w:val="18"/>
              </w:rPr>
              <w:t xml:space="preserve"> arbejde udført af </w:t>
            </w:r>
            <w:r>
              <w:rPr>
                <w:sz w:val="18"/>
              </w:rPr>
              <w:t>Romeo</w:t>
            </w:r>
            <w:r w:rsidRPr="00DE5C74">
              <w:rPr>
                <w:sz w:val="18"/>
              </w:rPr>
              <w:t xml:space="preserve"> siden</w:t>
            </w:r>
            <w:r>
              <w:rPr>
                <w:sz w:val="18"/>
              </w:rPr>
              <w:t xml:space="preserve"> forholdets begyndelse, </w:t>
            </w:r>
            <w:r w:rsidRPr="00DE5C74">
              <w:rPr>
                <w:sz w:val="18"/>
              </w:rPr>
              <w:t>som skal gennemgås.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  <w:tc>
          <w:tcPr>
            <w:tcW w:w="4379" w:type="dxa"/>
          </w:tcPr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b/>
                <w:sz w:val="18"/>
              </w:rPr>
              <w:t>Samlet vurdering af</w:t>
            </w:r>
            <w:r>
              <w:rPr>
                <w:b/>
                <w:sz w:val="18"/>
              </w:rPr>
              <w:t>,</w:t>
            </w:r>
            <w:r w:rsidRPr="00C2291B">
              <w:rPr>
                <w:b/>
                <w:sz w:val="18"/>
              </w:rPr>
              <w:t xml:space="preserve"> om kandidatens præstation er</w:t>
            </w:r>
            <w:r>
              <w:rPr>
                <w:b/>
                <w:sz w:val="18"/>
              </w:rPr>
              <w:t xml:space="preserve"> jævn eller god</w:t>
            </w:r>
            <w:r w:rsidRPr="00C2291B">
              <w:rPr>
                <w:b/>
                <w:sz w:val="18"/>
              </w:rPr>
              <w:t xml:space="preserve"> (karaktere</w:t>
            </w:r>
            <w:r>
              <w:rPr>
                <w:b/>
                <w:sz w:val="18"/>
              </w:rPr>
              <w:t>r</w:t>
            </w:r>
            <w:r w:rsidRPr="00C2291B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C2291B">
              <w:rPr>
                <w:b/>
                <w:sz w:val="18"/>
              </w:rPr>
              <w:t xml:space="preserve"> 4-7)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Pr="009103B8" w:rsidRDefault="00376D1F" w:rsidP="00B132CE">
            <w:pPr>
              <w:rPr>
                <w:b/>
                <w:sz w:val="18"/>
              </w:rPr>
            </w:pPr>
          </w:p>
          <w:p w:rsidR="00376D1F" w:rsidRPr="009103B8" w:rsidRDefault="00376D1F" w:rsidP="00B132CE">
            <w:pPr>
              <w:rPr>
                <w:b/>
                <w:sz w:val="18"/>
              </w:rPr>
            </w:pPr>
            <w:r w:rsidRPr="009103B8">
              <w:rPr>
                <w:b/>
                <w:sz w:val="18"/>
              </w:rPr>
              <w:t>Karaktere</w:t>
            </w:r>
            <w:r>
              <w:rPr>
                <w:b/>
                <w:sz w:val="18"/>
              </w:rPr>
              <w:t>r</w:t>
            </w:r>
            <w:r w:rsidRPr="009103B8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9103B8">
              <w:rPr>
                <w:b/>
                <w:sz w:val="18"/>
              </w:rPr>
              <w:t xml:space="preserve"> 10-12</w:t>
            </w:r>
          </w:p>
          <w:p w:rsidR="00376D1F" w:rsidRPr="009103B8" w:rsidRDefault="00376D1F" w:rsidP="00B132CE">
            <w:pPr>
              <w:rPr>
                <w:b/>
                <w:sz w:val="18"/>
              </w:rPr>
            </w:pPr>
            <w:r w:rsidRPr="009103B8">
              <w:rPr>
                <w:b/>
                <w:sz w:val="18"/>
              </w:rPr>
              <w:t>Et eller flere af følgende punkter bør være behandlet tilfredsstillende, for at kandidatens besvarelse er fortrinlig eller fremragende (det vil sige karaktere</w:t>
            </w:r>
            <w:r>
              <w:rPr>
                <w:b/>
                <w:sz w:val="18"/>
              </w:rPr>
              <w:t>r</w:t>
            </w:r>
            <w:r w:rsidRPr="009103B8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9103B8">
              <w:rPr>
                <w:b/>
                <w:sz w:val="18"/>
              </w:rPr>
              <w:t xml:space="preserve"> 10-12).</w:t>
            </w:r>
          </w:p>
          <w:p w:rsidR="00376D1F" w:rsidRPr="009103B8" w:rsidRDefault="00376D1F" w:rsidP="00B132CE">
            <w:pPr>
              <w:rPr>
                <w:b/>
                <w:sz w:val="18"/>
              </w:rPr>
            </w:pP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</w:p>
          <w:p w:rsidR="00376D1F" w:rsidRPr="00C2291B" w:rsidRDefault="00376D1F" w:rsidP="00B132CE">
            <w:pPr>
              <w:rPr>
                <w:rFonts w:cstheme="minorHAnsi"/>
                <w:color w:val="3B3838" w:themeColor="background2" w:themeShade="40"/>
                <w:sz w:val="16"/>
                <w:szCs w:val="20"/>
                <w:u w:val="single"/>
              </w:rPr>
            </w:pPr>
            <w:r w:rsidRPr="00C2291B">
              <w:rPr>
                <w:b/>
                <w:sz w:val="18"/>
              </w:rPr>
              <w:t>Bemærkninger</w:t>
            </w:r>
            <w:r w:rsidRPr="00C2291B">
              <w:rPr>
                <w:b/>
                <w:sz w:val="18"/>
              </w:rPr>
              <w:br/>
            </w:r>
            <w:r w:rsidRPr="00C2291B">
              <w:rPr>
                <w:rFonts w:cstheme="minorHAnsi"/>
                <w:b/>
                <w:color w:val="3B3838" w:themeColor="background2" w:themeShade="40"/>
                <w:sz w:val="16"/>
                <w:szCs w:val="20"/>
              </w:rPr>
              <w:t>Den fortrinlige præstation og den fremragende præstation</w:t>
            </w:r>
            <w:r w:rsidRPr="00C2291B">
              <w:rPr>
                <w:rFonts w:cstheme="minorHAnsi"/>
                <w:b/>
                <w:color w:val="3B3838" w:themeColor="background2" w:themeShade="40"/>
                <w:sz w:val="16"/>
                <w:szCs w:val="20"/>
              </w:rPr>
              <w:br/>
            </w: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</w:rPr>
              <w:t xml:space="preserve">Karakteren 10 gives for den fortrinlige præstation, der demonstrerer omfattende </w:t>
            </w: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  <w:u w:val="single"/>
              </w:rPr>
              <w:t>opfyldelse af fagets mål, med nogle mindre væsentlige mangler</w:t>
            </w:r>
          </w:p>
          <w:p w:rsidR="00376D1F" w:rsidRPr="00C2291B" w:rsidRDefault="00376D1F" w:rsidP="00B132CE">
            <w:pPr>
              <w:rPr>
                <w:sz w:val="18"/>
              </w:rPr>
            </w:pP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</w:rPr>
              <w:t xml:space="preserve">Karakteren 12 gives for den fremragende præstation, der demonstrerer </w:t>
            </w:r>
            <w:r w:rsidRPr="00C2291B">
              <w:rPr>
                <w:rFonts w:cstheme="minorHAnsi"/>
                <w:color w:val="3B3838" w:themeColor="background2" w:themeShade="40"/>
                <w:sz w:val="16"/>
                <w:szCs w:val="20"/>
                <w:u w:val="single"/>
              </w:rPr>
              <w:t>udtømmende opfyldelse af fagets mål, med ingen eller få uvæsentlige mangler</w:t>
            </w:r>
          </w:p>
        </w:tc>
      </w:tr>
      <w:tr w:rsidR="00376D1F" w:rsidRPr="00C2291B" w:rsidTr="00B132CE">
        <w:tc>
          <w:tcPr>
            <w:tcW w:w="1003" w:type="dxa"/>
          </w:tcPr>
          <w:p w:rsidR="00376D1F" w:rsidRPr="00EB2ED9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  <w:r w:rsidRPr="00C2291B">
              <w:rPr>
                <w:sz w:val="18"/>
              </w:rPr>
              <w:t>.1-102-</w:t>
            </w:r>
            <w:r>
              <w:rPr>
                <w:sz w:val="18"/>
              </w:rPr>
              <w:t>1</w:t>
            </w:r>
          </w:p>
        </w:tc>
        <w:tc>
          <w:tcPr>
            <w:tcW w:w="4379" w:type="dxa"/>
          </w:tcPr>
          <w:p w:rsidR="00376D1F" w:rsidRPr="00DE5C74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t>Kandidaten er opmærksom</w:t>
            </w:r>
            <w:r>
              <w:rPr>
                <w:sz w:val="18"/>
              </w:rPr>
              <w:t xml:space="preserve"> på</w:t>
            </w:r>
            <w:r w:rsidRPr="00DE5C74">
              <w:rPr>
                <w:sz w:val="18"/>
              </w:rPr>
              <w:t>/omtaler, at der er kommet nye etiske regler, uagtet at reglerne på dette område er uændre</w:t>
            </w:r>
            <w:r>
              <w:rPr>
                <w:sz w:val="18"/>
              </w:rPr>
              <w:t>de</w:t>
            </w:r>
            <w:r w:rsidRPr="00DE5C74">
              <w:rPr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C2291B">
              <w:rPr>
                <w:sz w:val="18"/>
              </w:rPr>
              <w:t>.1-102-</w:t>
            </w:r>
            <w:r>
              <w:rPr>
                <w:sz w:val="18"/>
              </w:rPr>
              <w:t>2</w:t>
            </w:r>
          </w:p>
        </w:tc>
        <w:tc>
          <w:tcPr>
            <w:tcW w:w="4379" w:type="dxa"/>
          </w:tcPr>
          <w:p w:rsidR="00376D1F" w:rsidRPr="00081E04" w:rsidRDefault="00376D1F" w:rsidP="00B132CE">
            <w:pPr>
              <w:rPr>
                <w:sz w:val="18"/>
              </w:rPr>
            </w:pPr>
            <w:r w:rsidRPr="00DE5C74">
              <w:rPr>
                <w:sz w:val="18"/>
              </w:rPr>
              <w:t>Kandidaten medtager overvejelser om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hvor sikker bestyrelsesmedlemmet er på</w:t>
            </w:r>
            <w:r>
              <w:rPr>
                <w:sz w:val="18"/>
              </w:rPr>
              <w:t>,</w:t>
            </w:r>
            <w:r w:rsidRPr="00DE5C74">
              <w:rPr>
                <w:sz w:val="18"/>
              </w:rPr>
              <w:t xml:space="preserve"> at det romantiske forhold ikke er startet tidligere end oktober 2018. (Kandidaten skal ikke antage andet end </w:t>
            </w:r>
            <w:r>
              <w:rPr>
                <w:sz w:val="18"/>
              </w:rPr>
              <w:t xml:space="preserve">oplyst i </w:t>
            </w:r>
            <w:r w:rsidRPr="00DE5C74">
              <w:rPr>
                <w:sz w:val="18"/>
              </w:rPr>
              <w:t xml:space="preserve">opgaveteksten, men </w:t>
            </w:r>
            <w:r>
              <w:rPr>
                <w:sz w:val="18"/>
              </w:rPr>
              <w:t>det er en sund overvejelse</w:t>
            </w:r>
            <w:r w:rsidRPr="00DE5C74">
              <w:rPr>
                <w:sz w:val="18"/>
              </w:rPr>
              <w:t>).</w:t>
            </w:r>
            <w:r>
              <w:rPr>
                <w:i/>
              </w:rPr>
              <w:t xml:space="preserve"> </w:t>
            </w:r>
            <w:r w:rsidRPr="00010F95">
              <w:rPr>
                <w:i/>
              </w:rPr>
              <w:t xml:space="preserve">    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C2291B">
              <w:rPr>
                <w:sz w:val="18"/>
              </w:rPr>
              <w:t>.1-102-</w:t>
            </w:r>
            <w:r>
              <w:rPr>
                <w:sz w:val="18"/>
              </w:rPr>
              <w:t>3</w:t>
            </w:r>
          </w:p>
        </w:tc>
        <w:tc>
          <w:tcPr>
            <w:tcW w:w="4379" w:type="dxa"/>
          </w:tcPr>
          <w:p w:rsidR="00376D1F" w:rsidRPr="009103B8" w:rsidRDefault="00376D1F" w:rsidP="00B132CE">
            <w:pPr>
              <w:rPr>
                <w:i/>
                <w:sz w:val="18"/>
              </w:rPr>
            </w:pPr>
            <w:r w:rsidRPr="00081E04">
              <w:rPr>
                <w:sz w:val="18"/>
              </w:rPr>
              <w:t>Mindre væsentlige faglige fejl og mindre fejl vedrørende formulering og disponering. (10)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C2291B">
              <w:rPr>
                <w:sz w:val="18"/>
              </w:rPr>
              <w:t>.1-102-</w:t>
            </w:r>
            <w:r>
              <w:rPr>
                <w:sz w:val="18"/>
              </w:rPr>
              <w:t>4</w:t>
            </w:r>
          </w:p>
        </w:tc>
        <w:tc>
          <w:tcPr>
            <w:tcW w:w="4379" w:type="dxa"/>
          </w:tcPr>
          <w:p w:rsidR="00376D1F" w:rsidRPr="009103B8" w:rsidRDefault="00376D1F" w:rsidP="00B132CE">
            <w:pPr>
              <w:rPr>
                <w:i/>
                <w:sz w:val="18"/>
              </w:rPr>
            </w:pPr>
            <w:r w:rsidRPr="00081E04">
              <w:rPr>
                <w:sz w:val="18"/>
              </w:rPr>
              <w:t>Kun helt uvæsentlige fejl og mangler i notatet. (12)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1003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  <w:tc>
          <w:tcPr>
            <w:tcW w:w="4379" w:type="dxa"/>
          </w:tcPr>
          <w:p w:rsidR="00376D1F" w:rsidRPr="009103B8" w:rsidRDefault="00376D1F" w:rsidP="00B132CE">
            <w:pPr>
              <w:rPr>
                <w:sz w:val="18"/>
              </w:rPr>
            </w:pPr>
            <w:r w:rsidRPr="009103B8">
              <w:rPr>
                <w:b/>
                <w:sz w:val="18"/>
              </w:rPr>
              <w:t>Samlet vurdering af om kandidatens præstation er fortrinlig eller fremragende (karaktere</w:t>
            </w:r>
            <w:r>
              <w:rPr>
                <w:b/>
                <w:sz w:val="18"/>
              </w:rPr>
              <w:t>r</w:t>
            </w:r>
            <w:r w:rsidRPr="009103B8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</w:t>
            </w:r>
            <w:r w:rsidRPr="009103B8">
              <w:rPr>
                <w:b/>
                <w:sz w:val="18"/>
              </w:rPr>
              <w:t xml:space="preserve"> 10-12)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5382" w:type="dxa"/>
            <w:gridSpan w:val="2"/>
          </w:tcPr>
          <w:p w:rsidR="00376D1F" w:rsidRPr="009103B8" w:rsidRDefault="00376D1F" w:rsidP="00B132CE">
            <w:pPr>
              <w:rPr>
                <w:b/>
                <w:sz w:val="18"/>
              </w:rPr>
            </w:pPr>
            <w:r w:rsidRPr="009103B8">
              <w:rPr>
                <w:b/>
                <w:sz w:val="18"/>
              </w:rPr>
              <w:t>Karakter for spørgsmål 3.1</w:t>
            </w:r>
          </w:p>
        </w:tc>
        <w:tc>
          <w:tcPr>
            <w:tcW w:w="4246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9628" w:type="dxa"/>
            <w:gridSpan w:val="3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 xml:space="preserve">Begrundelse </w:t>
            </w:r>
          </w:p>
        </w:tc>
      </w:tr>
    </w:tbl>
    <w:p w:rsidR="00376D1F" w:rsidRPr="00C2291B" w:rsidRDefault="00376D1F" w:rsidP="00376D1F">
      <w:pPr>
        <w:rPr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376D1F" w:rsidRPr="00487CA0" w:rsidTr="00B132CE">
        <w:tc>
          <w:tcPr>
            <w:tcW w:w="5665" w:type="dxa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Samlet karakter for besvarelsen</w:t>
            </w:r>
            <w:r>
              <w:rPr>
                <w:b/>
                <w:sz w:val="18"/>
              </w:rPr>
              <w:t xml:space="preserve"> af opgaven</w:t>
            </w:r>
          </w:p>
        </w:tc>
        <w:tc>
          <w:tcPr>
            <w:tcW w:w="3963" w:type="dxa"/>
          </w:tcPr>
          <w:p w:rsidR="00376D1F" w:rsidRPr="00C2291B" w:rsidRDefault="00376D1F" w:rsidP="00B132CE">
            <w:pPr>
              <w:rPr>
                <w:sz w:val="18"/>
              </w:rPr>
            </w:pPr>
          </w:p>
        </w:tc>
      </w:tr>
      <w:tr w:rsidR="00376D1F" w:rsidRPr="00487CA0" w:rsidTr="00B132CE">
        <w:tc>
          <w:tcPr>
            <w:tcW w:w="9628" w:type="dxa"/>
            <w:gridSpan w:val="2"/>
          </w:tcPr>
          <w:p w:rsidR="00376D1F" w:rsidRPr="00C2291B" w:rsidRDefault="00376D1F" w:rsidP="00B132CE">
            <w:pPr>
              <w:rPr>
                <w:b/>
                <w:sz w:val="18"/>
              </w:rPr>
            </w:pPr>
            <w:r w:rsidRPr="00C2291B">
              <w:rPr>
                <w:b/>
                <w:sz w:val="18"/>
              </w:rPr>
              <w:t>Begrundelse</w:t>
            </w:r>
          </w:p>
          <w:p w:rsidR="00376D1F" w:rsidRPr="00C2291B" w:rsidRDefault="00376D1F" w:rsidP="00B132CE">
            <w:pPr>
              <w:rPr>
                <w:sz w:val="18"/>
              </w:rPr>
            </w:pPr>
          </w:p>
        </w:tc>
      </w:tr>
    </w:tbl>
    <w:p w:rsidR="00376D1F" w:rsidRDefault="00376D1F" w:rsidP="00376D1F"/>
    <w:p w:rsidR="00236653" w:rsidRDefault="00236653"/>
    <w:sectPr w:rsidR="00236653" w:rsidSect="00E43311">
      <w:footerReference w:type="default" r:id="rId8"/>
      <w:pgSz w:w="11906" w:h="16838"/>
      <w:pgMar w:top="1701" w:right="1134" w:bottom="156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30" w:rsidRDefault="006032CB">
      <w:pPr>
        <w:spacing w:after="0" w:line="240" w:lineRule="auto"/>
      </w:pPr>
      <w:r>
        <w:separator/>
      </w:r>
    </w:p>
  </w:endnote>
  <w:endnote w:type="continuationSeparator" w:id="0">
    <w:p w:rsidR="00270930" w:rsidRDefault="0060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5842"/>
      <w:docPartObj>
        <w:docPartGallery w:val="Page Numbers (Bottom of Page)"/>
        <w:docPartUnique/>
      </w:docPartObj>
    </w:sdtPr>
    <w:sdtEndPr/>
    <w:sdtContent>
      <w:p w:rsidR="00AD1D40" w:rsidRDefault="00376D1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AD1D40" w:rsidRDefault="00F27E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30" w:rsidRDefault="006032CB">
      <w:pPr>
        <w:spacing w:after="0" w:line="240" w:lineRule="auto"/>
      </w:pPr>
      <w:r>
        <w:separator/>
      </w:r>
    </w:p>
  </w:footnote>
  <w:footnote w:type="continuationSeparator" w:id="0">
    <w:p w:rsidR="00270930" w:rsidRDefault="0060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5461"/>
    <w:multiLevelType w:val="hybridMultilevel"/>
    <w:tmpl w:val="3B20CAE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0E13"/>
    <w:multiLevelType w:val="hybridMultilevel"/>
    <w:tmpl w:val="3B549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7992"/>
    <w:multiLevelType w:val="hybridMultilevel"/>
    <w:tmpl w:val="72B2B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F39D3"/>
    <w:multiLevelType w:val="hybridMultilevel"/>
    <w:tmpl w:val="0A5CB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3367A"/>
    <w:multiLevelType w:val="hybridMultilevel"/>
    <w:tmpl w:val="24043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1F"/>
    <w:rsid w:val="00025DD9"/>
    <w:rsid w:val="00061E26"/>
    <w:rsid w:val="00236653"/>
    <w:rsid w:val="00270930"/>
    <w:rsid w:val="002F454E"/>
    <w:rsid w:val="00376D1F"/>
    <w:rsid w:val="006032CB"/>
    <w:rsid w:val="00652EC0"/>
    <w:rsid w:val="006A141B"/>
    <w:rsid w:val="006A7D14"/>
    <w:rsid w:val="00AB4268"/>
    <w:rsid w:val="00B17860"/>
    <w:rsid w:val="00C0177B"/>
    <w:rsid w:val="00D854B2"/>
    <w:rsid w:val="00DA1F8E"/>
    <w:rsid w:val="00DA5782"/>
    <w:rsid w:val="00F12C06"/>
    <w:rsid w:val="00F2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B944-FD07-4B2A-9E7D-878E0AE4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D1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7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76D1F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37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6D1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0172-8EE3-4D6E-BC7B-D5488841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2854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Wolf</dc:creator>
  <cp:keywords/>
  <dc:description/>
  <cp:lastModifiedBy>Camilla Wolf</cp:lastModifiedBy>
  <cp:revision>2</cp:revision>
  <dcterms:created xsi:type="dcterms:W3CDTF">2019-08-27T06:55:00Z</dcterms:created>
  <dcterms:modified xsi:type="dcterms:W3CDTF">2019-08-27T06:55:00Z</dcterms:modified>
</cp:coreProperties>
</file>